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pacing w:before="0" w:after="0" w:line="360" w:lineRule="auto"/>
        <w:ind w:left="225"/>
        <w:jc w:val="center"/>
        <w:rPr>
          <w:rFonts w:asciiTheme="minorEastAsia" w:hAnsiTheme="minorEastAsia" w:eastAsiaTheme="minorEastAsia"/>
          <w:lang w:val="en-US"/>
        </w:rPr>
      </w:pPr>
      <w:bookmarkStart w:id="0" w:name="_Toc9178495"/>
      <w:bookmarkStart w:id="1" w:name="_Toc9178506"/>
      <w:bookmarkStart w:id="2" w:name="_Toc300677971"/>
      <w:bookmarkStart w:id="3" w:name="_Toc4146"/>
      <w:r>
        <w:rPr>
          <w:rFonts w:hint="eastAsia" w:asciiTheme="minorEastAsia" w:hAnsiTheme="minorEastAsia" w:eastAsiaTheme="minorEastAsia"/>
          <w:lang w:val="en-US"/>
        </w:rPr>
        <w:t>年产500万件智能终端硬件及配套产品的研发以及生产新建项目招标公告</w:t>
      </w:r>
    </w:p>
    <w:p>
      <w:pPr>
        <w:rPr>
          <w:rFonts w:asciiTheme="minorEastAsia" w:hAnsiTheme="minorEastAsia"/>
          <w:szCs w:val="21"/>
        </w:rPr>
      </w:pPr>
    </w:p>
    <w:bookmarkEnd w:id="0"/>
    <w:bookmarkEnd w:id="1"/>
    <w:bookmarkEnd w:id="2"/>
    <w:bookmarkEnd w:id="3"/>
    <w:p>
      <w:pPr>
        <w:pStyle w:val="17"/>
        <w:spacing w:line="440" w:lineRule="exact"/>
        <w:outlineLvl w:val="1"/>
        <w:rPr>
          <w:rFonts w:asciiTheme="minorEastAsia" w:hAnsiTheme="minorEastAsia"/>
          <w:szCs w:val="21"/>
        </w:rPr>
      </w:pPr>
      <w:r>
        <w:rPr>
          <w:rFonts w:asciiTheme="minorEastAsia" w:hAnsiTheme="minorEastAsia"/>
          <w:b/>
          <w:bCs/>
          <w:szCs w:val="21"/>
        </w:rPr>
        <w:t>一、 招标条件</w:t>
      </w:r>
    </w:p>
    <w:p>
      <w:pPr>
        <w:pStyle w:val="17"/>
        <w:spacing w:line="440" w:lineRule="exact"/>
        <w:ind w:firstLine="420" w:firstLineChars="200"/>
        <w:rPr>
          <w:rFonts w:asciiTheme="minorEastAsia" w:hAnsiTheme="minorEastAsia"/>
          <w:szCs w:val="21"/>
        </w:rPr>
      </w:pPr>
      <w:r>
        <w:rPr>
          <w:rFonts w:asciiTheme="minorEastAsia" w:hAnsiTheme="minorEastAsia"/>
          <w:szCs w:val="21"/>
        </w:rPr>
        <w:t>本招标项目</w:t>
      </w:r>
      <w:r>
        <w:rPr>
          <w:rFonts w:hint="eastAsia" w:asciiTheme="minorEastAsia" w:hAnsiTheme="minorEastAsia"/>
          <w:szCs w:val="21"/>
          <w:u w:val="single"/>
        </w:rPr>
        <w:t>年产500万件智能终端硬件及配套产品的研发以及生产新建项目</w:t>
      </w:r>
      <w:r>
        <w:rPr>
          <w:rFonts w:hint="eastAsia" w:asciiTheme="minorEastAsia" w:hAnsiTheme="minorEastAsia"/>
          <w:szCs w:val="21"/>
        </w:rPr>
        <w:t>（项目名称）</w:t>
      </w:r>
      <w:r>
        <w:rPr>
          <w:rFonts w:asciiTheme="minorEastAsia" w:hAnsiTheme="minorEastAsia"/>
          <w:szCs w:val="21"/>
        </w:rPr>
        <w:t>已由</w:t>
      </w:r>
      <w:r>
        <w:rPr>
          <w:rFonts w:hint="eastAsia" w:asciiTheme="minorEastAsia" w:hAnsiTheme="minorEastAsia"/>
          <w:szCs w:val="21"/>
          <w:u w:val="single"/>
        </w:rPr>
        <w:t>丹阳市行政审批局</w:t>
      </w:r>
      <w:r>
        <w:rPr>
          <w:rFonts w:hint="eastAsia" w:asciiTheme="minorEastAsia" w:hAnsiTheme="minorEastAsia"/>
          <w:szCs w:val="21"/>
        </w:rPr>
        <w:t>（项目审批、核准或备案机关名称）</w:t>
      </w:r>
      <w:r>
        <w:rPr>
          <w:rFonts w:asciiTheme="minorEastAsia" w:hAnsiTheme="minorEastAsia"/>
          <w:szCs w:val="21"/>
        </w:rPr>
        <w:t>以</w:t>
      </w:r>
      <w:r>
        <w:rPr>
          <w:rFonts w:hint="eastAsia" w:asciiTheme="minorEastAsia" w:hAnsiTheme="minorEastAsia"/>
          <w:szCs w:val="21"/>
          <w:u w:val="single"/>
        </w:rPr>
        <w:t>丹审备</w:t>
      </w:r>
      <w:r>
        <w:rPr>
          <w:rFonts w:asciiTheme="minorEastAsia" w:hAnsiTheme="minorEastAsia"/>
          <w:szCs w:val="21"/>
          <w:u w:val="single"/>
        </w:rPr>
        <w:t>[2020]417号</w:t>
      </w:r>
      <w:r>
        <w:rPr>
          <w:rFonts w:asciiTheme="minorEastAsia" w:hAnsiTheme="minorEastAsia"/>
          <w:szCs w:val="21"/>
        </w:rPr>
        <w:t>批准建设，招标人为</w:t>
      </w:r>
      <w:r>
        <w:rPr>
          <w:rFonts w:hint="eastAsia" w:asciiTheme="minorEastAsia" w:hAnsiTheme="minorEastAsia"/>
          <w:szCs w:val="21"/>
          <w:u w:val="single"/>
        </w:rPr>
        <w:t>江苏力合智能制造产业园发展有限公司</w:t>
      </w:r>
      <w:r>
        <w:rPr>
          <w:rFonts w:asciiTheme="minorEastAsia" w:hAnsiTheme="minorEastAsia"/>
          <w:szCs w:val="21"/>
        </w:rPr>
        <w:t>，建设资金来自</w:t>
      </w:r>
      <w:r>
        <w:rPr>
          <w:rFonts w:asciiTheme="minorEastAsia" w:hAnsiTheme="minorEastAsia"/>
          <w:szCs w:val="21"/>
          <w:u w:val="single"/>
        </w:rPr>
        <w:t>自筹</w:t>
      </w:r>
      <w:r>
        <w:rPr>
          <w:rFonts w:asciiTheme="minorEastAsia" w:hAnsiTheme="minorEastAsia"/>
          <w:szCs w:val="21"/>
        </w:rPr>
        <w:t>。项目已具备招标条件，现邀请合格的潜在投标人参加本项目</w:t>
      </w:r>
      <w:r>
        <w:rPr>
          <w:rFonts w:hint="eastAsia" w:asciiTheme="minorEastAsia" w:hAnsiTheme="minorEastAsia"/>
          <w:szCs w:val="21"/>
          <w:u w:val="single"/>
        </w:rPr>
        <w:t>年产500万件智能终端硬件及配套产品的研发以及生产新建项目-A01、A03地块电梯供货与安装工程</w:t>
      </w:r>
      <w:r>
        <w:rPr>
          <w:rFonts w:hint="eastAsia" w:asciiTheme="minorEastAsia" w:hAnsiTheme="minorEastAsia"/>
          <w:szCs w:val="21"/>
        </w:rPr>
        <w:t>（标段名称）的公开招标</w:t>
      </w:r>
      <w:r>
        <w:rPr>
          <w:rFonts w:asciiTheme="minorEastAsia" w:hAnsiTheme="minorEastAsia"/>
          <w:szCs w:val="21"/>
        </w:rPr>
        <w:t>。</w:t>
      </w:r>
      <w:r>
        <w:rPr>
          <w:rFonts w:asciiTheme="minorEastAsia" w:hAnsiTheme="minorEastAsia"/>
          <w:bCs/>
          <w:szCs w:val="21"/>
          <w:u w:val="single"/>
        </w:rPr>
        <w:t>江苏正德建设管理有限公司</w:t>
      </w:r>
      <w:r>
        <w:rPr>
          <w:rFonts w:asciiTheme="minorEastAsia" w:hAnsiTheme="minorEastAsia"/>
          <w:bCs/>
          <w:szCs w:val="21"/>
        </w:rPr>
        <w:t>受招标人的</w:t>
      </w:r>
      <w:r>
        <w:rPr>
          <w:rFonts w:asciiTheme="minorEastAsia" w:hAnsiTheme="minorEastAsia"/>
          <w:szCs w:val="21"/>
        </w:rPr>
        <w:t>委托具体负责本工程的招标事宜。</w:t>
      </w:r>
    </w:p>
    <w:p>
      <w:pPr>
        <w:pStyle w:val="17"/>
        <w:spacing w:line="440" w:lineRule="exact"/>
        <w:outlineLvl w:val="1"/>
        <w:rPr>
          <w:rFonts w:asciiTheme="minorEastAsia" w:hAnsiTheme="minorEastAsia"/>
          <w:szCs w:val="21"/>
        </w:rPr>
      </w:pPr>
      <w:r>
        <w:rPr>
          <w:rFonts w:asciiTheme="minorEastAsia" w:hAnsiTheme="minorEastAsia"/>
          <w:b/>
          <w:bCs/>
          <w:szCs w:val="21"/>
        </w:rPr>
        <w:t>二、 项目概况与招标方式</w:t>
      </w:r>
    </w:p>
    <w:p>
      <w:pPr>
        <w:pStyle w:val="17"/>
        <w:spacing w:line="440" w:lineRule="exact"/>
        <w:ind w:firstLine="420" w:firstLineChars="200"/>
        <w:rPr>
          <w:rFonts w:asciiTheme="minorEastAsia" w:hAnsiTheme="minorEastAsia"/>
          <w:szCs w:val="21"/>
        </w:rPr>
      </w:pPr>
      <w:r>
        <w:rPr>
          <w:rFonts w:asciiTheme="minorEastAsia" w:hAnsiTheme="minorEastAsia"/>
          <w:szCs w:val="21"/>
        </w:rPr>
        <w:t>1、招标范围：</w:t>
      </w:r>
      <w:r>
        <w:rPr>
          <w:rFonts w:hint="eastAsia" w:asciiTheme="minorEastAsia" w:hAnsiTheme="minorEastAsia"/>
          <w:szCs w:val="21"/>
        </w:rPr>
        <w:t>包含但不限于供应16台电梯运行所需的全部设备、电缆线路及安装辅材；提供相关的设计、制造、运输、装卸、仓储、现场协调、安装、调试（包含配合消防验收）、政府部门报批及专项验收、移交使用、保养和维护、技术指导、培训和保修、售后服务等（具体详见技术要求、图纸、电梯工程量）。</w:t>
      </w:r>
    </w:p>
    <w:p>
      <w:pPr>
        <w:pStyle w:val="17"/>
        <w:spacing w:line="440" w:lineRule="exact"/>
        <w:ind w:firstLine="420" w:firstLineChars="200"/>
        <w:rPr>
          <w:rFonts w:asciiTheme="minorEastAsia" w:hAnsiTheme="minorEastAsia"/>
          <w:szCs w:val="21"/>
        </w:rPr>
      </w:pPr>
      <w:r>
        <w:rPr>
          <w:rFonts w:asciiTheme="minorEastAsia" w:hAnsiTheme="minorEastAsia"/>
          <w:szCs w:val="21"/>
        </w:rPr>
        <w:t>2、交货地点：</w:t>
      </w:r>
      <w:r>
        <w:rPr>
          <w:rFonts w:hint="eastAsia" w:asciiTheme="minorEastAsia" w:hAnsiTheme="minorEastAsia"/>
          <w:szCs w:val="21"/>
        </w:rPr>
        <w:t>丹阳高新区南三环南侧</w:t>
      </w:r>
    </w:p>
    <w:p>
      <w:pPr>
        <w:pStyle w:val="17"/>
        <w:spacing w:line="440" w:lineRule="exact"/>
        <w:ind w:firstLine="420" w:firstLineChars="200"/>
        <w:rPr>
          <w:rFonts w:asciiTheme="minorEastAsia" w:hAnsiTheme="minorEastAsia"/>
          <w:szCs w:val="21"/>
        </w:rPr>
      </w:pPr>
      <w:r>
        <w:rPr>
          <w:rFonts w:asciiTheme="minorEastAsia" w:hAnsiTheme="minorEastAsia"/>
          <w:szCs w:val="21"/>
        </w:rPr>
        <w:t>3、交货期或交付使用期：</w:t>
      </w:r>
      <w:r>
        <w:rPr>
          <w:rFonts w:hint="eastAsia" w:asciiTheme="minorEastAsia" w:hAnsiTheme="minorEastAsia"/>
          <w:szCs w:val="21"/>
        </w:rPr>
        <w:t>共计1</w:t>
      </w:r>
      <w:r>
        <w:rPr>
          <w:rFonts w:asciiTheme="minorEastAsia" w:hAnsiTheme="minorEastAsia"/>
          <w:szCs w:val="21"/>
        </w:rPr>
        <w:t>05</w:t>
      </w:r>
      <w:r>
        <w:rPr>
          <w:rFonts w:hint="eastAsia" w:asciiTheme="minorEastAsia" w:hAnsiTheme="minorEastAsia"/>
          <w:szCs w:val="21"/>
        </w:rPr>
        <w:t>天，其中供货期：自甲方签发设备排产通知单之日起50日历天内负责供货到现场；安装工期：自甲方签发的书面安装通知书所载开工之起40日历天内完成安装，安装完成日起15日历天完成验收。</w:t>
      </w:r>
    </w:p>
    <w:p>
      <w:pPr>
        <w:pStyle w:val="17"/>
        <w:spacing w:line="440" w:lineRule="exact"/>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标段划分及招标内容：本</w:t>
      </w:r>
      <w:r>
        <w:rPr>
          <w:rFonts w:hint="eastAsia" w:asciiTheme="minorEastAsia" w:hAnsiTheme="minorEastAsia"/>
          <w:szCs w:val="21"/>
        </w:rPr>
        <w:t>次</w:t>
      </w:r>
      <w:r>
        <w:rPr>
          <w:rFonts w:asciiTheme="minorEastAsia" w:hAnsiTheme="minorEastAsia"/>
          <w:szCs w:val="21"/>
        </w:rPr>
        <w:t>招标工程共分</w:t>
      </w:r>
      <w:r>
        <w:rPr>
          <w:rFonts w:asciiTheme="minorEastAsia" w:hAnsiTheme="minorEastAsia"/>
          <w:szCs w:val="21"/>
          <w:u w:val="single"/>
        </w:rPr>
        <w:t xml:space="preserve"> 1 </w:t>
      </w:r>
      <w:r>
        <w:rPr>
          <w:rFonts w:asciiTheme="minorEastAsia" w:hAnsiTheme="minorEastAsia"/>
          <w:szCs w:val="21"/>
        </w:rPr>
        <w:t>个标段</w:t>
      </w:r>
    </w:p>
    <w:tbl>
      <w:tblPr>
        <w:tblStyle w:val="40"/>
        <w:tblW w:w="935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7"/>
        <w:gridCol w:w="2839"/>
        <w:gridCol w:w="1932"/>
        <w:gridCol w:w="1488"/>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17" w:type="dxa"/>
            <w:vAlign w:val="center"/>
          </w:tcPr>
          <w:p>
            <w:pPr>
              <w:pStyle w:val="17"/>
              <w:jc w:val="center"/>
              <w:rPr>
                <w:rFonts w:asciiTheme="minorEastAsia" w:hAnsiTheme="minorEastAsia"/>
                <w:szCs w:val="21"/>
              </w:rPr>
            </w:pPr>
            <w:r>
              <w:rPr>
                <w:rFonts w:asciiTheme="minorEastAsia" w:hAnsiTheme="minorEastAsia"/>
                <w:szCs w:val="21"/>
              </w:rPr>
              <w:t>标段编号</w:t>
            </w:r>
          </w:p>
        </w:tc>
        <w:tc>
          <w:tcPr>
            <w:tcW w:w="2839" w:type="dxa"/>
            <w:vAlign w:val="center"/>
          </w:tcPr>
          <w:p>
            <w:pPr>
              <w:pStyle w:val="17"/>
              <w:jc w:val="center"/>
              <w:rPr>
                <w:rFonts w:asciiTheme="minorEastAsia" w:hAnsiTheme="minorEastAsia"/>
                <w:szCs w:val="21"/>
              </w:rPr>
            </w:pPr>
            <w:r>
              <w:rPr>
                <w:rFonts w:asciiTheme="minorEastAsia" w:hAnsiTheme="minorEastAsia"/>
                <w:szCs w:val="21"/>
              </w:rPr>
              <w:t>标段名称</w:t>
            </w:r>
          </w:p>
        </w:tc>
        <w:tc>
          <w:tcPr>
            <w:tcW w:w="1932" w:type="dxa"/>
            <w:vAlign w:val="center"/>
          </w:tcPr>
          <w:p>
            <w:pPr>
              <w:pStyle w:val="17"/>
              <w:jc w:val="center"/>
              <w:rPr>
                <w:rFonts w:asciiTheme="minorEastAsia" w:hAnsiTheme="minorEastAsia"/>
                <w:szCs w:val="21"/>
              </w:rPr>
            </w:pPr>
            <w:r>
              <w:rPr>
                <w:rFonts w:asciiTheme="minorEastAsia" w:hAnsiTheme="minorEastAsia"/>
                <w:szCs w:val="21"/>
              </w:rPr>
              <w:t>招标范围</w:t>
            </w:r>
          </w:p>
        </w:tc>
        <w:tc>
          <w:tcPr>
            <w:tcW w:w="1488" w:type="dxa"/>
            <w:vAlign w:val="center"/>
          </w:tcPr>
          <w:p>
            <w:pPr>
              <w:pStyle w:val="17"/>
              <w:jc w:val="center"/>
              <w:rPr>
                <w:rFonts w:asciiTheme="minorEastAsia" w:hAnsiTheme="minorEastAsia"/>
                <w:szCs w:val="21"/>
              </w:rPr>
            </w:pPr>
            <w:r>
              <w:rPr>
                <w:rFonts w:asciiTheme="minorEastAsia" w:hAnsiTheme="minorEastAsia"/>
                <w:szCs w:val="21"/>
              </w:rPr>
              <w:t>交货期或交付使用期</w:t>
            </w:r>
          </w:p>
        </w:tc>
        <w:tc>
          <w:tcPr>
            <w:tcW w:w="1174" w:type="dxa"/>
            <w:vAlign w:val="center"/>
          </w:tcPr>
          <w:p>
            <w:pPr>
              <w:pStyle w:val="17"/>
              <w:jc w:val="center"/>
              <w:rPr>
                <w:rFonts w:asciiTheme="minorEastAsia" w:hAnsiTheme="minorEastAsia"/>
                <w:szCs w:val="21"/>
              </w:rPr>
            </w:pPr>
            <w:r>
              <w:rPr>
                <w:rFonts w:asciiTheme="minorEastAsia" w:hAnsiTheme="minorEastAsia"/>
                <w:szCs w:val="21"/>
              </w:rPr>
              <w:t>估算价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917" w:type="dxa"/>
            <w:vAlign w:val="center"/>
          </w:tcPr>
          <w:p>
            <w:pPr>
              <w:pStyle w:val="17"/>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 xml:space="preserve"> </w:t>
            </w:r>
          </w:p>
        </w:tc>
        <w:tc>
          <w:tcPr>
            <w:tcW w:w="2839" w:type="dxa"/>
            <w:vAlign w:val="center"/>
          </w:tcPr>
          <w:p>
            <w:pPr>
              <w:pStyle w:val="17"/>
              <w:jc w:val="center"/>
              <w:rPr>
                <w:rFonts w:asciiTheme="minorEastAsia" w:hAnsiTheme="minorEastAsia"/>
                <w:szCs w:val="21"/>
              </w:rPr>
            </w:pPr>
            <w:r>
              <w:rPr>
                <w:rFonts w:hint="eastAsia" w:asciiTheme="minorEastAsia" w:hAnsiTheme="minorEastAsia"/>
                <w:szCs w:val="21"/>
              </w:rPr>
              <w:t>年产500万件智能终端硬件及配套产品的研发以及生产新建项目-A01、A03地块电梯供货与安装工程</w:t>
            </w:r>
          </w:p>
        </w:tc>
        <w:tc>
          <w:tcPr>
            <w:tcW w:w="1932" w:type="dxa"/>
            <w:vAlign w:val="center"/>
          </w:tcPr>
          <w:p>
            <w:pPr>
              <w:pStyle w:val="17"/>
              <w:jc w:val="center"/>
              <w:rPr>
                <w:rFonts w:asciiTheme="minorEastAsia" w:hAnsiTheme="minorEastAsia"/>
                <w:szCs w:val="21"/>
              </w:rPr>
            </w:pPr>
            <w:r>
              <w:rPr>
                <w:rFonts w:hint="eastAsia" w:asciiTheme="minorEastAsia" w:hAnsiTheme="minorEastAsia"/>
                <w:szCs w:val="21"/>
              </w:rPr>
              <w:t>电梯设备采购安装及售后服务</w:t>
            </w:r>
          </w:p>
        </w:tc>
        <w:tc>
          <w:tcPr>
            <w:tcW w:w="1488" w:type="dxa"/>
            <w:vAlign w:val="center"/>
          </w:tcPr>
          <w:p>
            <w:pPr>
              <w:pStyle w:val="17"/>
              <w:jc w:val="center"/>
              <w:rPr>
                <w:rFonts w:asciiTheme="minorEastAsia" w:hAnsiTheme="minorEastAsia"/>
                <w:szCs w:val="21"/>
              </w:rPr>
            </w:pPr>
            <w:r>
              <w:rPr>
                <w:rFonts w:hint="eastAsia" w:asciiTheme="minorEastAsia" w:hAnsiTheme="minorEastAsia"/>
                <w:szCs w:val="21"/>
              </w:rPr>
              <w:t>105日历天</w:t>
            </w:r>
          </w:p>
        </w:tc>
        <w:tc>
          <w:tcPr>
            <w:tcW w:w="1174" w:type="dxa"/>
            <w:vAlign w:val="center"/>
          </w:tcPr>
          <w:p>
            <w:pPr>
              <w:pStyle w:val="17"/>
              <w:jc w:val="center"/>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400</w:t>
            </w:r>
            <w:r>
              <w:rPr>
                <w:rFonts w:hint="eastAsia" w:asciiTheme="minorEastAsia" w:hAnsiTheme="minorEastAsia"/>
                <w:szCs w:val="21"/>
              </w:rPr>
              <w:t>万元（暂定）</w:t>
            </w:r>
          </w:p>
        </w:tc>
      </w:tr>
    </w:tbl>
    <w:p>
      <w:pPr>
        <w:pStyle w:val="17"/>
        <w:spacing w:line="440" w:lineRule="exact"/>
        <w:outlineLvl w:val="1"/>
        <w:rPr>
          <w:rFonts w:asciiTheme="minorEastAsia" w:hAnsiTheme="minorEastAsia"/>
          <w:szCs w:val="21"/>
        </w:rPr>
      </w:pPr>
      <w:r>
        <w:rPr>
          <w:rFonts w:asciiTheme="minorEastAsia" w:hAnsiTheme="minorEastAsia"/>
          <w:b/>
          <w:bCs/>
          <w:szCs w:val="21"/>
        </w:rPr>
        <w:t>三、申请人资格要求</w:t>
      </w:r>
    </w:p>
    <w:p>
      <w:pPr>
        <w:spacing w:line="440" w:lineRule="exact"/>
        <w:ind w:firstLine="437"/>
        <w:rPr>
          <w:rFonts w:asciiTheme="minorEastAsia" w:hAnsiTheme="minorEastAsia"/>
          <w:szCs w:val="21"/>
        </w:rPr>
      </w:pPr>
      <w:r>
        <w:rPr>
          <w:rFonts w:hint="eastAsia" w:asciiTheme="minorEastAsia" w:hAnsiTheme="minorEastAsia"/>
          <w:szCs w:val="21"/>
        </w:rPr>
        <w:t>1、投标人必须为中国境内注册，有独立法人资格，具备独立承担民事责任的能力和良好的资金、技术实力的电梯制造厂商或该制造厂商针对本项目的唯一授权代理商。</w:t>
      </w:r>
    </w:p>
    <w:p>
      <w:pPr>
        <w:spacing w:line="440" w:lineRule="exact"/>
        <w:ind w:firstLine="437"/>
        <w:rPr>
          <w:rFonts w:asciiTheme="minorEastAsia" w:hAnsiTheme="minorEastAsia"/>
          <w:szCs w:val="21"/>
        </w:rPr>
      </w:pPr>
      <w:r>
        <w:rPr>
          <w:rFonts w:hint="eastAsia" w:asciiTheme="minorEastAsia" w:hAnsiTheme="minorEastAsia"/>
          <w:szCs w:val="21"/>
        </w:rPr>
        <w:t>2、本电梯采购项目必须采用市场口碑好的一线成熟品牌，推荐品牌为：</w:t>
      </w:r>
      <w:r>
        <w:rPr>
          <w:rFonts w:asciiTheme="minorEastAsia" w:hAnsiTheme="minorEastAsia"/>
          <w:szCs w:val="21"/>
          <w:u w:val="single"/>
        </w:rPr>
        <w:t xml:space="preserve"> </w:t>
      </w:r>
      <w:r>
        <w:rPr>
          <w:rFonts w:hint="eastAsia" w:asciiTheme="minorEastAsia" w:hAnsiTheme="minorEastAsia"/>
          <w:szCs w:val="21"/>
          <w:u w:val="single"/>
        </w:rPr>
        <w:t>永大、康力、巨人通力、杭州西奥、上海现代、西继迅达、江南嘉捷</w:t>
      </w:r>
      <w:r>
        <w:rPr>
          <w:rFonts w:asciiTheme="minorEastAsia" w:hAnsiTheme="minorEastAsia"/>
          <w:szCs w:val="21"/>
          <w:u w:val="single"/>
        </w:rPr>
        <w:t xml:space="preserve"> </w:t>
      </w:r>
      <w:r>
        <w:rPr>
          <w:rFonts w:asciiTheme="minorEastAsia" w:hAnsiTheme="minorEastAsia"/>
          <w:szCs w:val="21"/>
        </w:rPr>
        <w:t>。欢迎其他在品牌知名度、信誉度、质量、性能、技术指标等方面不低于上述品牌的产品参加，但必须在招标答疑截止时间前，以书面形式（加盖公章）向招标人提出，并附产品详细技术参数，并提供权威机构出具的证明所投品牌的技术需求和性能不低于推荐品牌，并征得招标人的认可。</w:t>
      </w:r>
    </w:p>
    <w:p>
      <w:pPr>
        <w:spacing w:line="440" w:lineRule="exact"/>
        <w:ind w:firstLine="437"/>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、如电梯制造商投标，需提供制造商营业执照、《中华人民共和国特种设备制造许可证（电梯）》（客梯</w:t>
      </w:r>
      <w:r>
        <w:rPr>
          <w:rFonts w:asciiTheme="minorEastAsia" w:hAnsiTheme="minorEastAsia"/>
          <w:szCs w:val="21"/>
        </w:rPr>
        <w:t>C级及以上</w:t>
      </w:r>
      <w:r>
        <w:rPr>
          <w:rFonts w:hint="eastAsia" w:asciiTheme="minorEastAsia" w:hAnsiTheme="minorEastAsia"/>
          <w:szCs w:val="21"/>
        </w:rPr>
        <w:t>、货梯</w:t>
      </w:r>
      <w:r>
        <w:rPr>
          <w:rFonts w:asciiTheme="minorEastAsia" w:hAnsiTheme="minorEastAsia"/>
          <w:szCs w:val="21"/>
        </w:rPr>
        <w:t>C级及以上</w:t>
      </w:r>
      <w:r>
        <w:rPr>
          <w:rFonts w:hint="eastAsia" w:asciiTheme="minorEastAsia" w:hAnsiTheme="minorEastAsia"/>
          <w:szCs w:val="21"/>
        </w:rPr>
        <w:t>）且须具备安装、维修C级及以上资质（许可范围符合本次招标内容）的《中华人民共和国特种设备安装改造维修许可证》，或《中华人民共和国特种设备生产许可证》（许可项目具备电梯制造（含安装、修理、改造），许可子项目满足本项目电梯规格要求）。</w:t>
      </w:r>
    </w:p>
    <w:p>
      <w:pPr>
        <w:spacing w:line="440" w:lineRule="exact"/>
        <w:ind w:firstLine="437"/>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、如代理商投标，需提供代理商的营业执照、制造厂商针对本项目的唯一授权书、制造商的营业执照、制造商的《中华人民共和国特种设备制造许可证（电梯）》（客梯</w:t>
      </w:r>
      <w:r>
        <w:rPr>
          <w:rFonts w:asciiTheme="minorEastAsia" w:hAnsiTheme="minorEastAsia"/>
          <w:szCs w:val="21"/>
        </w:rPr>
        <w:t>C级及以上</w:t>
      </w:r>
      <w:r>
        <w:rPr>
          <w:rFonts w:hint="eastAsia" w:asciiTheme="minorEastAsia" w:hAnsiTheme="minorEastAsia"/>
          <w:szCs w:val="21"/>
        </w:rPr>
        <w:t>、货梯</w:t>
      </w:r>
      <w:r>
        <w:rPr>
          <w:rFonts w:asciiTheme="minorEastAsia" w:hAnsiTheme="minorEastAsia"/>
          <w:szCs w:val="21"/>
        </w:rPr>
        <w:t>C级及以上</w:t>
      </w:r>
      <w:r>
        <w:rPr>
          <w:rFonts w:hint="eastAsia" w:asciiTheme="minorEastAsia" w:hAnsiTheme="minorEastAsia"/>
          <w:szCs w:val="21"/>
        </w:rPr>
        <w:t>）或《中华人民共和国特种设备生产许可证》（许可项目具备电梯制造，许可子项目满足本项目电梯规格要求）。如由制造商负责安装，须提供制造商的安装、维修C级及以上资质（许可范围符合本次招标内容）的《中华人民共和国特种设备安装改造维修许可证》或《中华人民共和国特种设备生产许可证》（许可项目具备电梯制造（含安装、修理、改造），许可子项目满足本项目电梯规格要求）且在授权书中明确。如果由代理商负责安装，须提供代理商的安装、维修C级及以上资质（许可范围符合本次招标内容）的《中华人民共和国特种设备安装改造维修许可证》或《中华人民共和国特种设备生产许可证》（许可项目具备电梯安装（含修理），许可子项目满足本项目电梯规格要求），同时必须提供投标设备的制造厂商对投标电梯安装的授权委托书。</w:t>
      </w:r>
    </w:p>
    <w:p>
      <w:pPr>
        <w:spacing w:line="440" w:lineRule="exact"/>
        <w:ind w:firstLine="437"/>
        <w:rPr>
          <w:rFonts w:asciiTheme="minorEastAsia" w:hAnsiTheme="minorEastAsia"/>
          <w:b/>
          <w:bCs/>
          <w:szCs w:val="21"/>
        </w:rPr>
      </w:pPr>
      <w:r>
        <w:rPr>
          <w:rFonts w:hint="eastAsia" w:asciiTheme="minorEastAsia" w:hAnsiTheme="minorEastAsia"/>
          <w:b/>
          <w:bCs/>
          <w:szCs w:val="21"/>
        </w:rPr>
        <w:t>投标时须明确品牌，每个制造商或代理商只能报名一个品牌。</w:t>
      </w:r>
      <w:r>
        <w:rPr>
          <w:rFonts w:hint="eastAsia" w:asciiTheme="minorEastAsia" w:hAnsiTheme="minorEastAsia"/>
          <w:szCs w:val="21"/>
        </w:rPr>
        <w:t>（若出现同一品牌的两家及以上的投标人参与本项目的，制造商优先于代理商；若同为代理商，则优选授权委托书的时间靠前的代理商，若授权时间相同，则该品牌的所有代理商均为无效投标。）</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、具有独立订立合同的能力</w:t>
      </w:r>
      <w:r>
        <w:rPr>
          <w:rFonts w:hint="eastAsia" w:asciiTheme="minorEastAsia" w:hAnsiTheme="minorEastAsia"/>
          <w:szCs w:val="21"/>
        </w:rPr>
        <w:t>；</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、未处于被责令停业、投标资格被取消或者财产被接管、冻结和破产状态</w:t>
      </w:r>
      <w:r>
        <w:rPr>
          <w:rFonts w:hint="eastAsia" w:asciiTheme="minorEastAsia" w:hAnsiTheme="minorEastAsia"/>
          <w:szCs w:val="21"/>
        </w:rPr>
        <w:t>；</w:t>
      </w:r>
      <w:r>
        <w:rPr>
          <w:rFonts w:asciiTheme="minorEastAsia" w:hAnsiTheme="minorEastAsia"/>
          <w:szCs w:val="21"/>
        </w:rPr>
        <w:t xml:space="preserve"> </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、企业没有因诈骗中标或者严重违约以及发生重大工程质量、安全生产事故等问题， 被有关部门暂停投标资格并在暂停期内的</w:t>
      </w:r>
      <w:r>
        <w:rPr>
          <w:rFonts w:hint="eastAsia" w:asciiTheme="minorEastAsia" w:hAnsiTheme="minorEastAsia"/>
          <w:szCs w:val="21"/>
        </w:rPr>
        <w:t>；</w:t>
      </w:r>
      <w:r>
        <w:rPr>
          <w:rFonts w:asciiTheme="minorEastAsia" w:hAnsiTheme="minorEastAsia"/>
          <w:szCs w:val="21"/>
        </w:rPr>
        <w:t xml:space="preserve"> </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w:t>
      </w:r>
      <w:r>
        <w:rPr>
          <w:rFonts w:hint="eastAsia" w:asciiTheme="minorEastAsia" w:hAnsiTheme="minorEastAsia"/>
          <w:szCs w:val="21"/>
        </w:rPr>
        <w:t>符合《中华人民共和国招标投标法》、《中华人民共和国招标投标法实施条例》及其他法律、法规规定的其他条件；</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、本次招标不接受联合体</w:t>
      </w:r>
      <w:r>
        <w:rPr>
          <w:rFonts w:hint="eastAsia" w:asciiTheme="minorEastAsia" w:hAnsiTheme="minorEastAsia"/>
          <w:szCs w:val="21"/>
        </w:rPr>
        <w:t>；</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存在下列情形的，投标人不得参加本次投标：</w:t>
      </w:r>
    </w:p>
    <w:p>
      <w:pPr>
        <w:pStyle w:val="17"/>
        <w:numPr>
          <w:ilvl w:val="0"/>
          <w:numId w:val="1"/>
        </w:numPr>
        <w:autoSpaceDE w:val="0"/>
        <w:autoSpaceDN w:val="0"/>
        <w:spacing w:after="0" w:line="440" w:lineRule="exact"/>
        <w:ind w:firstLine="420" w:firstLineChars="200"/>
        <w:jc w:val="left"/>
        <w:rPr>
          <w:rFonts w:asciiTheme="minorEastAsia" w:hAnsiTheme="minorEastAsia"/>
          <w:szCs w:val="21"/>
        </w:rPr>
      </w:pPr>
      <w:r>
        <w:rPr>
          <w:rFonts w:asciiTheme="minorEastAsia" w:hAnsiTheme="minorEastAsia"/>
          <w:szCs w:val="21"/>
        </w:rPr>
        <w:t>为招标人不具有独立法人资格的附属机构（单位）</w:t>
      </w:r>
      <w:r>
        <w:rPr>
          <w:rFonts w:hint="eastAsia" w:asciiTheme="minorEastAsia" w:hAnsiTheme="minorEastAsia"/>
          <w:szCs w:val="21"/>
        </w:rPr>
        <w:t>；</w:t>
      </w:r>
    </w:p>
    <w:p>
      <w:pPr>
        <w:pStyle w:val="17"/>
        <w:numPr>
          <w:ilvl w:val="0"/>
          <w:numId w:val="1"/>
        </w:numPr>
        <w:autoSpaceDE w:val="0"/>
        <w:autoSpaceDN w:val="0"/>
        <w:spacing w:after="0" w:line="440" w:lineRule="exact"/>
        <w:ind w:firstLine="420" w:firstLineChars="200"/>
        <w:jc w:val="left"/>
        <w:rPr>
          <w:rFonts w:asciiTheme="minorEastAsia" w:hAnsiTheme="minorEastAsia"/>
          <w:szCs w:val="21"/>
        </w:rPr>
      </w:pPr>
      <w:r>
        <w:rPr>
          <w:rFonts w:asciiTheme="minorEastAsia" w:hAnsiTheme="minorEastAsia"/>
          <w:szCs w:val="21"/>
        </w:rPr>
        <w:t>为本招标项目的监理人、代建人、项目管理人，以及为本招标项目提供招标代理、设计服务的</w:t>
      </w:r>
      <w:r>
        <w:rPr>
          <w:rFonts w:hint="eastAsia" w:asciiTheme="minorEastAsia" w:hAnsiTheme="minorEastAsia"/>
          <w:szCs w:val="21"/>
        </w:rPr>
        <w:t>；</w:t>
      </w:r>
    </w:p>
    <w:p>
      <w:pPr>
        <w:pStyle w:val="17"/>
        <w:numPr>
          <w:ilvl w:val="0"/>
          <w:numId w:val="1"/>
        </w:numPr>
        <w:autoSpaceDE w:val="0"/>
        <w:autoSpaceDN w:val="0"/>
        <w:spacing w:after="0" w:line="440" w:lineRule="exact"/>
        <w:ind w:firstLine="420" w:firstLineChars="200"/>
        <w:jc w:val="left"/>
        <w:rPr>
          <w:rFonts w:asciiTheme="minorEastAsia" w:hAnsiTheme="minorEastAsia"/>
          <w:szCs w:val="21"/>
        </w:rPr>
      </w:pPr>
      <w:r>
        <w:rPr>
          <w:rFonts w:asciiTheme="minorEastAsia" w:hAnsiTheme="minorEastAsia"/>
          <w:szCs w:val="21"/>
        </w:rPr>
        <w:t>与本招标项目的监理人、代建人、招标代理机构同为一个法定代表人的，或者相互控股、参股的</w:t>
      </w:r>
      <w:r>
        <w:rPr>
          <w:rFonts w:hint="eastAsia" w:asciiTheme="minorEastAsia" w:hAnsiTheme="minorEastAsia"/>
          <w:szCs w:val="21"/>
        </w:rPr>
        <w:t>；</w:t>
      </w:r>
    </w:p>
    <w:p>
      <w:pPr>
        <w:pStyle w:val="17"/>
        <w:numPr>
          <w:ilvl w:val="0"/>
          <w:numId w:val="1"/>
        </w:numPr>
        <w:autoSpaceDE w:val="0"/>
        <w:autoSpaceDN w:val="0"/>
        <w:spacing w:after="0" w:line="440" w:lineRule="exact"/>
        <w:ind w:firstLine="420" w:firstLineChars="200"/>
        <w:jc w:val="left"/>
        <w:rPr>
          <w:rFonts w:asciiTheme="minorEastAsia" w:hAnsiTheme="minorEastAsia"/>
          <w:szCs w:val="21"/>
        </w:rPr>
      </w:pPr>
      <w:r>
        <w:rPr>
          <w:rFonts w:asciiTheme="minorEastAsia" w:hAnsiTheme="minorEastAsia"/>
          <w:szCs w:val="21"/>
        </w:rPr>
        <w:t>与招标人存在利害关系可能影响招标公正性的</w:t>
      </w:r>
      <w:r>
        <w:rPr>
          <w:rFonts w:hint="eastAsia" w:asciiTheme="minorEastAsia" w:hAnsiTheme="minorEastAsia"/>
          <w:szCs w:val="21"/>
        </w:rPr>
        <w:t>；</w:t>
      </w:r>
    </w:p>
    <w:p>
      <w:pPr>
        <w:pStyle w:val="17"/>
        <w:numPr>
          <w:ilvl w:val="0"/>
          <w:numId w:val="1"/>
        </w:numPr>
        <w:autoSpaceDE w:val="0"/>
        <w:autoSpaceDN w:val="0"/>
        <w:spacing w:after="0" w:line="440" w:lineRule="exact"/>
        <w:ind w:firstLine="420" w:firstLineChars="200"/>
        <w:jc w:val="left"/>
        <w:rPr>
          <w:rFonts w:asciiTheme="minorEastAsia" w:hAnsiTheme="minorEastAsia"/>
          <w:szCs w:val="21"/>
        </w:rPr>
      </w:pPr>
      <w:r>
        <w:rPr>
          <w:rFonts w:asciiTheme="minorEastAsia" w:hAnsiTheme="minorEastAsia"/>
          <w:szCs w:val="21"/>
        </w:rPr>
        <w:t>单位负责人为同一人或者存在控股、管理关系的不同单位</w:t>
      </w:r>
      <w:r>
        <w:rPr>
          <w:rFonts w:hint="eastAsia" w:asciiTheme="minorEastAsia" w:hAnsiTheme="minorEastAsia"/>
          <w:szCs w:val="21"/>
        </w:rPr>
        <w:t>；</w:t>
      </w:r>
    </w:p>
    <w:p>
      <w:pPr>
        <w:pStyle w:val="17"/>
        <w:numPr>
          <w:ilvl w:val="0"/>
          <w:numId w:val="1"/>
        </w:numPr>
        <w:autoSpaceDE w:val="0"/>
        <w:autoSpaceDN w:val="0"/>
        <w:spacing w:after="0" w:line="440" w:lineRule="exact"/>
        <w:ind w:firstLine="420" w:firstLineChars="200"/>
        <w:jc w:val="left"/>
        <w:rPr>
          <w:rFonts w:asciiTheme="minorEastAsia" w:hAnsiTheme="minorEastAsia"/>
          <w:szCs w:val="21"/>
        </w:rPr>
      </w:pPr>
      <w:r>
        <w:rPr>
          <w:rFonts w:asciiTheme="minorEastAsia" w:hAnsiTheme="minorEastAsia"/>
          <w:szCs w:val="21"/>
        </w:rPr>
        <w:t>处于被责令停业、财产被接管、冻结和破产状态，以及投标资格被取消或者被暂停且在暂停期内</w:t>
      </w:r>
      <w:r>
        <w:rPr>
          <w:rFonts w:hint="eastAsia" w:asciiTheme="minorEastAsia" w:hAnsiTheme="minorEastAsia"/>
          <w:szCs w:val="21"/>
        </w:rPr>
        <w:t>；</w:t>
      </w:r>
    </w:p>
    <w:p>
      <w:pPr>
        <w:pStyle w:val="17"/>
        <w:numPr>
          <w:ilvl w:val="0"/>
          <w:numId w:val="1"/>
        </w:numPr>
        <w:autoSpaceDE w:val="0"/>
        <w:autoSpaceDN w:val="0"/>
        <w:spacing w:after="0" w:line="440" w:lineRule="exact"/>
        <w:ind w:firstLine="420" w:firstLineChars="200"/>
        <w:jc w:val="left"/>
        <w:rPr>
          <w:rFonts w:asciiTheme="minorEastAsia" w:hAnsiTheme="minorEastAsia"/>
          <w:szCs w:val="21"/>
        </w:rPr>
      </w:pPr>
      <w:r>
        <w:rPr>
          <w:rFonts w:asciiTheme="minorEastAsia" w:hAnsiTheme="minorEastAsia"/>
          <w:szCs w:val="21"/>
        </w:rPr>
        <w:t>因拖欠工人工资或者因发生质量安全事故被有关部门限制在招标项目所在地承接工程的</w:t>
      </w:r>
      <w:r>
        <w:rPr>
          <w:rFonts w:hint="eastAsia" w:asciiTheme="minorEastAsia" w:hAnsiTheme="minorEastAsia"/>
          <w:szCs w:val="21"/>
        </w:rPr>
        <w:t>；</w:t>
      </w:r>
    </w:p>
    <w:p>
      <w:pPr>
        <w:pStyle w:val="17"/>
        <w:numPr>
          <w:ilvl w:val="0"/>
          <w:numId w:val="1"/>
        </w:numPr>
        <w:autoSpaceDE w:val="0"/>
        <w:autoSpaceDN w:val="0"/>
        <w:spacing w:after="0" w:line="440" w:lineRule="exact"/>
        <w:ind w:firstLine="420" w:firstLineChars="200"/>
        <w:jc w:val="left"/>
        <w:rPr>
          <w:rFonts w:asciiTheme="minorEastAsia" w:hAnsiTheme="minorEastAsia"/>
          <w:szCs w:val="21"/>
        </w:rPr>
      </w:pPr>
      <w:r>
        <w:rPr>
          <w:rFonts w:asciiTheme="minorEastAsia" w:hAnsiTheme="minorEastAsia"/>
          <w:szCs w:val="21"/>
        </w:rPr>
        <w:t>在信用中国（http: //</w:t>
      </w:r>
      <w:r>
        <w:fldChar w:fldCharType="begin"/>
      </w:r>
      <w:r>
        <w:instrText xml:space="preserve"> HYPERLINK "http://www.creditchina.gov.cn/" \h </w:instrText>
      </w:r>
      <w:r>
        <w:fldChar w:fldCharType="separate"/>
      </w:r>
      <w:r>
        <w:rPr>
          <w:rFonts w:asciiTheme="minorEastAsia" w:hAnsiTheme="minorEastAsia"/>
          <w:szCs w:val="21"/>
        </w:rPr>
        <w:t>www.creditchina.gov.cn/</w:t>
      </w:r>
      <w:r>
        <w:rPr>
          <w:rFonts w:asciiTheme="minorEastAsia" w:hAnsiTheme="minorEastAsia"/>
          <w:szCs w:val="21"/>
        </w:rPr>
        <w:fldChar w:fldCharType="end"/>
      </w:r>
      <w:r>
        <w:rPr>
          <w:rFonts w:asciiTheme="minorEastAsia" w:hAnsiTheme="minorEastAsia"/>
          <w:szCs w:val="21"/>
        </w:rPr>
        <w:t>）网站中被列入失信被执行人名单</w:t>
      </w:r>
      <w:r>
        <w:rPr>
          <w:rFonts w:hint="eastAsia" w:asciiTheme="minorEastAsia" w:hAnsiTheme="minorEastAsia"/>
          <w:szCs w:val="21"/>
        </w:rPr>
        <w:t>；</w:t>
      </w:r>
    </w:p>
    <w:p>
      <w:pPr>
        <w:pStyle w:val="17"/>
        <w:numPr>
          <w:ilvl w:val="0"/>
          <w:numId w:val="1"/>
        </w:numPr>
        <w:autoSpaceDE w:val="0"/>
        <w:autoSpaceDN w:val="0"/>
        <w:spacing w:after="0" w:line="440" w:lineRule="exact"/>
        <w:ind w:firstLine="420" w:firstLineChars="200"/>
        <w:jc w:val="left"/>
        <w:rPr>
          <w:rFonts w:asciiTheme="minorEastAsia" w:hAnsiTheme="minorEastAsia"/>
          <w:szCs w:val="21"/>
        </w:rPr>
      </w:pPr>
      <w:r>
        <w:rPr>
          <w:rFonts w:asciiTheme="minorEastAsia" w:hAnsiTheme="minorEastAsia"/>
          <w:szCs w:val="21"/>
        </w:rPr>
        <w:t>法律法规规定的其他情形。</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10、若投标人法定代表人授权委托代理人参与本项目投标的，需提供合法、有效的授权委托书及企业为其缴纳的（2021年06月、2021年07月和2021年08月）的社会保险证明。（注：1. 如投标人注册所在地人力资源和社会保障部门明确的最大查询期与招标文件规定的月份不一致时，须提供注册所在地政府主管部门出具的的文件；2.委托代理人达到国家法定退休年龄的，无需提供社保证明材料；委托代理人未达到国家法定退休年龄，但提前退休的，提供人力资源和社会保障部门出具的退休证明材料。）</w:t>
      </w:r>
    </w:p>
    <w:p>
      <w:pPr>
        <w:pStyle w:val="17"/>
        <w:spacing w:line="440" w:lineRule="exact"/>
        <w:outlineLvl w:val="1"/>
        <w:rPr>
          <w:rFonts w:asciiTheme="minorEastAsia" w:hAnsiTheme="minorEastAsia"/>
          <w:b/>
          <w:bCs/>
          <w:szCs w:val="21"/>
        </w:rPr>
      </w:pPr>
      <w:r>
        <w:rPr>
          <w:rFonts w:hint="eastAsia" w:asciiTheme="minorEastAsia" w:hAnsiTheme="minorEastAsia"/>
          <w:b/>
          <w:bCs/>
          <w:szCs w:val="21"/>
        </w:rPr>
        <w:t>四</w:t>
      </w:r>
      <w:r>
        <w:rPr>
          <w:rFonts w:asciiTheme="minorEastAsia" w:hAnsiTheme="minorEastAsia"/>
          <w:b/>
          <w:bCs/>
          <w:szCs w:val="21"/>
        </w:rPr>
        <w:t>、评标细则</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本工程采用“综合评估法”，资格审查合格的投标人方可进入评标程序，资审不合格的单位不参加评标。总分为</w:t>
      </w:r>
      <w:r>
        <w:rPr>
          <w:rFonts w:asciiTheme="minorEastAsia" w:hAnsiTheme="minorEastAsia"/>
          <w:szCs w:val="21"/>
        </w:rPr>
        <w:t>100</w:t>
      </w:r>
      <w:r>
        <w:rPr>
          <w:rFonts w:hint="eastAsia" w:asciiTheme="minorEastAsia" w:hAnsiTheme="minorEastAsia"/>
          <w:szCs w:val="21"/>
        </w:rPr>
        <w:t>分，其中投标报价60分，技术响应25分；售后服务5分；安装及调试方案5分；投标人业绩5分。评标时，评标委员会各成员独立对每个有效投标人的投标文件进行评价、打分，技术响应、安装及调试方案得分取所有评委评分中分别去掉一个最高和最低评分后的平均值后汇总计算出每个投标人的总得分（计算过程以及结果均四舍五入，保留两位有效小数）。</w:t>
      </w:r>
    </w:p>
    <w:p>
      <w:pPr>
        <w:pStyle w:val="17"/>
        <w:spacing w:line="440" w:lineRule="exact"/>
        <w:ind w:firstLine="422" w:firstLineChars="200"/>
        <w:rPr>
          <w:rFonts w:asciiTheme="minorEastAsia" w:hAnsiTheme="minorEastAsia"/>
          <w:b/>
          <w:bCs/>
          <w:szCs w:val="21"/>
        </w:rPr>
      </w:pPr>
      <w:r>
        <w:rPr>
          <w:rFonts w:hint="eastAsia" w:asciiTheme="minorEastAsia" w:hAnsiTheme="minorEastAsia"/>
          <w:b/>
          <w:bCs/>
          <w:szCs w:val="21"/>
        </w:rPr>
        <w:t>（一）投标报价（60分）</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以有效投标文件的最低评标价为评标基准价，评标价等于评标基准价的得60分，每高于评标基准价的</w:t>
      </w:r>
      <w:r>
        <w:rPr>
          <w:rFonts w:asciiTheme="minorEastAsia" w:hAnsiTheme="minorEastAsia"/>
          <w:szCs w:val="21"/>
        </w:rPr>
        <w:t>1%</w:t>
      </w:r>
      <w:r>
        <w:rPr>
          <w:rFonts w:hint="eastAsia" w:asciiTheme="minorEastAsia" w:hAnsiTheme="minorEastAsia"/>
          <w:szCs w:val="21"/>
        </w:rPr>
        <w:t>扣1分，偏离不足</w:t>
      </w:r>
      <w:r>
        <w:rPr>
          <w:rFonts w:asciiTheme="minorEastAsia" w:hAnsiTheme="minorEastAsia"/>
          <w:szCs w:val="21"/>
        </w:rPr>
        <w:t>1%的，按照插入法计算得分</w:t>
      </w:r>
      <w:r>
        <w:rPr>
          <w:rFonts w:hint="eastAsia" w:asciiTheme="minorEastAsia" w:hAnsiTheme="minorEastAsia"/>
          <w:szCs w:val="21"/>
        </w:rPr>
        <w:t>，四舍五入，保留两位有效小数。</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评标委员会在评标报告上签字后，评标基准价不因招投标当事人质疑、投诉、复议以及其它任何情形而改变。</w:t>
      </w:r>
    </w:p>
    <w:p>
      <w:pPr>
        <w:pStyle w:val="17"/>
        <w:spacing w:line="440" w:lineRule="exact"/>
        <w:ind w:firstLine="422" w:firstLineChars="200"/>
        <w:rPr>
          <w:rFonts w:asciiTheme="minorEastAsia" w:hAnsiTheme="minorEastAsia"/>
          <w:b/>
          <w:bCs/>
          <w:szCs w:val="21"/>
        </w:rPr>
      </w:pPr>
      <w:r>
        <w:rPr>
          <w:rFonts w:hint="eastAsia" w:asciiTheme="minorEastAsia" w:hAnsiTheme="minorEastAsia"/>
          <w:b/>
          <w:bCs/>
          <w:szCs w:val="21"/>
        </w:rPr>
        <w:t>（二）技术响应（25分）</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投标货物技术参数、技术需求、功能配置全部符合招标文件“第五章</w:t>
      </w:r>
      <w:r>
        <w:rPr>
          <w:rFonts w:asciiTheme="minorEastAsia" w:hAnsiTheme="minorEastAsia"/>
          <w:szCs w:val="21"/>
        </w:rPr>
        <w:t xml:space="preserve"> 货物需求”要求的得25分；其中“第五章 货物需求”中加注星号（"*"）的条款不得负偏离，否则按无效标处理，“第五章 货物需求”中未加注星号（"*"）的条款存在负偏离的（负偏离须在投标文件中《商务及技术条款偏离表》明确），每条扣0.5分，扣完为止。</w:t>
      </w:r>
    </w:p>
    <w:p>
      <w:pPr>
        <w:pStyle w:val="17"/>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（三）售后服务（5分）</w:t>
      </w:r>
    </w:p>
    <w:p>
      <w:pPr>
        <w:pStyle w:val="228"/>
        <w:adjustRightInd w:val="0"/>
        <w:snapToGrid w:val="0"/>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投标人在江苏省内</w:t>
      </w:r>
      <w:r>
        <w:rPr>
          <w:rFonts w:asciiTheme="minorEastAsia" w:hAnsiTheme="minorEastAsia" w:eastAsiaTheme="minorEastAsia"/>
          <w:sz w:val="21"/>
          <w:szCs w:val="21"/>
          <w:lang w:eastAsia="zh-CN"/>
        </w:rPr>
        <w:t>获</w:t>
      </w:r>
      <w:r>
        <w:rPr>
          <w:rFonts w:hint="eastAsia" w:asciiTheme="minorEastAsia" w:hAnsiTheme="minorEastAsia" w:eastAsiaTheme="minorEastAsia"/>
          <w:sz w:val="21"/>
          <w:szCs w:val="21"/>
          <w:lang w:eastAsia="zh-CN"/>
        </w:rPr>
        <w:t>得</w:t>
      </w:r>
      <w:r>
        <w:rPr>
          <w:rFonts w:asciiTheme="minorEastAsia" w:hAnsiTheme="minorEastAsia" w:eastAsiaTheme="minorEastAsia"/>
          <w:sz w:val="21"/>
          <w:szCs w:val="21"/>
          <w:lang w:eastAsia="zh-CN"/>
        </w:rPr>
        <w:t>江苏省质量技术监督局颁发的维保服务星级评定五星级得</w:t>
      </w:r>
      <w:r>
        <w:rPr>
          <w:rFonts w:hint="eastAsia" w:asciiTheme="minorEastAsia" w:hAnsiTheme="minorEastAsia" w:eastAsiaTheme="minorEastAsia"/>
          <w:sz w:val="21"/>
          <w:szCs w:val="21"/>
          <w:lang w:eastAsia="zh-CN"/>
        </w:rPr>
        <w:t>5</w:t>
      </w:r>
      <w:r>
        <w:rPr>
          <w:rFonts w:asciiTheme="minorEastAsia" w:hAnsiTheme="minorEastAsia" w:eastAsiaTheme="minorEastAsia"/>
          <w:sz w:val="21"/>
          <w:szCs w:val="21"/>
          <w:lang w:eastAsia="zh-CN"/>
        </w:rPr>
        <w:t>分</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四星级得</w:t>
      </w: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分，</w:t>
      </w:r>
      <w:r>
        <w:rPr>
          <w:rFonts w:hint="eastAsia" w:asciiTheme="minorEastAsia" w:hAnsiTheme="minorEastAsia" w:eastAsiaTheme="minorEastAsia"/>
          <w:sz w:val="21"/>
          <w:szCs w:val="21"/>
          <w:lang w:eastAsia="zh-CN"/>
        </w:rPr>
        <w:t>三星级得1分，</w:t>
      </w:r>
      <w:r>
        <w:rPr>
          <w:rFonts w:asciiTheme="minorEastAsia" w:hAnsiTheme="minorEastAsia" w:eastAsiaTheme="minorEastAsia"/>
          <w:sz w:val="21"/>
          <w:szCs w:val="21"/>
          <w:lang w:eastAsia="zh-CN"/>
        </w:rPr>
        <w:t>其他不得分</w:t>
      </w:r>
      <w:r>
        <w:rPr>
          <w:rFonts w:hint="eastAsia" w:asciiTheme="minorEastAsia" w:hAnsiTheme="minorEastAsia" w:eastAsiaTheme="minorEastAsia"/>
          <w:sz w:val="21"/>
          <w:szCs w:val="21"/>
          <w:lang w:eastAsia="zh-CN"/>
        </w:rPr>
        <w:t>。（提供证书原件扫描件）</w:t>
      </w:r>
    </w:p>
    <w:p>
      <w:pPr>
        <w:pStyle w:val="17"/>
        <w:spacing w:line="440" w:lineRule="exact"/>
        <w:ind w:firstLine="422" w:firstLineChars="200"/>
        <w:rPr>
          <w:rFonts w:asciiTheme="minorEastAsia" w:hAnsiTheme="minorEastAsia"/>
          <w:szCs w:val="21"/>
        </w:rPr>
      </w:pPr>
      <w:r>
        <w:rPr>
          <w:rFonts w:hint="eastAsia" w:asciiTheme="minorEastAsia" w:hAnsiTheme="minorEastAsia"/>
          <w:b/>
          <w:bCs/>
          <w:szCs w:val="21"/>
        </w:rPr>
        <w:t>（四）</w:t>
      </w:r>
      <w:r>
        <w:rPr>
          <w:rFonts w:asciiTheme="minorEastAsia" w:hAnsiTheme="minorEastAsia"/>
          <w:b/>
          <w:bCs/>
          <w:szCs w:val="21"/>
        </w:rPr>
        <w:t>安装及调试方案</w:t>
      </w:r>
      <w:r>
        <w:rPr>
          <w:rFonts w:hint="eastAsia" w:asciiTheme="minorEastAsia" w:hAnsiTheme="minorEastAsia"/>
          <w:b/>
          <w:bCs/>
          <w:szCs w:val="21"/>
        </w:rPr>
        <w:t>（5</w:t>
      </w:r>
      <w:r>
        <w:rPr>
          <w:rFonts w:asciiTheme="minorEastAsia" w:hAnsiTheme="minorEastAsia"/>
          <w:b/>
          <w:bCs/>
          <w:szCs w:val="21"/>
        </w:rPr>
        <w:t>分</w:t>
      </w:r>
      <w:r>
        <w:rPr>
          <w:rFonts w:hint="eastAsia" w:asciiTheme="minorEastAsia" w:hAnsiTheme="minorEastAsia"/>
          <w:b/>
          <w:bCs/>
          <w:szCs w:val="21"/>
        </w:rPr>
        <w:t>）</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提供施工组织架构及详细职责说明，最高得</w:t>
      </w:r>
      <w:r>
        <w:rPr>
          <w:rFonts w:hint="eastAsia" w:asciiTheme="minorEastAsia" w:hAnsiTheme="minorEastAsia"/>
          <w:szCs w:val="21"/>
        </w:rPr>
        <w:t>2</w:t>
      </w:r>
      <w:r>
        <w:rPr>
          <w:rFonts w:asciiTheme="minorEastAsia" w:hAnsiTheme="minorEastAsia"/>
          <w:szCs w:val="21"/>
        </w:rPr>
        <w:t>分。</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投标文件有技术交接、现场勘查、施工工具准备等内容，最高得</w:t>
      </w:r>
      <w:r>
        <w:rPr>
          <w:rFonts w:hint="eastAsia" w:asciiTheme="minorEastAsia" w:hAnsiTheme="minorEastAsia"/>
          <w:szCs w:val="21"/>
        </w:rPr>
        <w:t>1</w:t>
      </w:r>
      <w:r>
        <w:rPr>
          <w:rFonts w:asciiTheme="minorEastAsia" w:hAnsiTheme="minorEastAsia"/>
          <w:szCs w:val="21"/>
        </w:rPr>
        <w:t>分。</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投标文件有详细售后服务内容、规范、流程、记录清单的，最高得</w:t>
      </w:r>
      <w:r>
        <w:rPr>
          <w:rFonts w:hint="eastAsia" w:asciiTheme="minorEastAsia" w:hAnsiTheme="minorEastAsia"/>
          <w:szCs w:val="21"/>
        </w:rPr>
        <w:t>1</w:t>
      </w:r>
      <w:r>
        <w:rPr>
          <w:rFonts w:asciiTheme="minorEastAsia" w:hAnsiTheme="minorEastAsia"/>
          <w:szCs w:val="21"/>
        </w:rPr>
        <w:t>分。</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投标文件有现场培训内容及详细介绍的，最高得</w:t>
      </w:r>
      <w:r>
        <w:rPr>
          <w:rFonts w:hint="eastAsia" w:asciiTheme="minorEastAsia" w:hAnsiTheme="minorEastAsia"/>
          <w:szCs w:val="21"/>
        </w:rPr>
        <w:t>1</w:t>
      </w:r>
      <w:r>
        <w:rPr>
          <w:rFonts w:asciiTheme="minorEastAsia" w:hAnsiTheme="minorEastAsia"/>
          <w:szCs w:val="21"/>
        </w:rPr>
        <w:t>分。</w:t>
      </w:r>
    </w:p>
    <w:p>
      <w:pPr>
        <w:pStyle w:val="17"/>
        <w:spacing w:line="440" w:lineRule="exact"/>
        <w:ind w:firstLine="422" w:firstLineChars="200"/>
        <w:rPr>
          <w:rFonts w:asciiTheme="minorEastAsia" w:hAnsiTheme="minorEastAsia"/>
          <w:b/>
          <w:bCs/>
          <w:szCs w:val="21"/>
        </w:rPr>
      </w:pPr>
      <w:r>
        <w:rPr>
          <w:rFonts w:hint="eastAsia" w:asciiTheme="minorEastAsia" w:hAnsiTheme="minorEastAsia"/>
          <w:b/>
          <w:bCs/>
          <w:szCs w:val="21"/>
        </w:rPr>
        <w:t>（五）</w:t>
      </w:r>
      <w:r>
        <w:rPr>
          <w:rFonts w:asciiTheme="minorEastAsia" w:hAnsiTheme="minorEastAsia"/>
          <w:b/>
          <w:bCs/>
          <w:szCs w:val="21"/>
        </w:rPr>
        <w:t>类似业绩</w:t>
      </w:r>
      <w:r>
        <w:rPr>
          <w:rFonts w:hint="eastAsia" w:asciiTheme="minorEastAsia" w:hAnsiTheme="minorEastAsia"/>
          <w:b/>
          <w:bCs/>
          <w:szCs w:val="21"/>
        </w:rPr>
        <w:t>（5</w:t>
      </w:r>
      <w:r>
        <w:rPr>
          <w:rFonts w:asciiTheme="minorEastAsia" w:hAnsiTheme="minorEastAsia"/>
          <w:b/>
          <w:bCs/>
          <w:szCs w:val="21"/>
        </w:rPr>
        <w:t>分</w:t>
      </w:r>
      <w:r>
        <w:rPr>
          <w:rFonts w:hint="eastAsia" w:asciiTheme="minorEastAsia" w:hAnsiTheme="minorEastAsia"/>
          <w:b/>
          <w:bCs/>
          <w:szCs w:val="21"/>
        </w:rPr>
        <w:t>）</w:t>
      </w:r>
    </w:p>
    <w:p>
      <w:pPr>
        <w:widowControl/>
        <w:spacing w:line="440" w:lineRule="exact"/>
        <w:ind w:firstLine="420" w:firstLineChars="200"/>
        <w:rPr>
          <w:rFonts w:asciiTheme="minorEastAsia" w:hAnsiTheme="minorEastAsia"/>
          <w:szCs w:val="21"/>
        </w:rPr>
      </w:pPr>
      <w:r>
        <w:rPr>
          <w:rFonts w:hint="eastAsia" w:asciiTheme="minorEastAsia" w:hAnsiTheme="minorEastAsia"/>
          <w:szCs w:val="21"/>
        </w:rPr>
        <w:t>2018年01月01日至本项目投标截止时，</w:t>
      </w:r>
      <w:r>
        <w:rPr>
          <w:rFonts w:asciiTheme="minorEastAsia" w:hAnsiTheme="minorEastAsia"/>
          <w:szCs w:val="21"/>
        </w:rPr>
        <w:t>投标单位</w:t>
      </w:r>
      <w:r>
        <w:rPr>
          <w:rFonts w:hint="eastAsia" w:asciiTheme="minorEastAsia" w:hAnsiTheme="minorEastAsia"/>
          <w:szCs w:val="21"/>
        </w:rPr>
        <w:t>承担过合同金额400</w:t>
      </w:r>
      <w:r>
        <w:rPr>
          <w:rFonts w:asciiTheme="minorEastAsia" w:hAnsiTheme="minorEastAsia"/>
          <w:szCs w:val="21"/>
        </w:rPr>
        <w:t>万及以上</w:t>
      </w:r>
      <w:r>
        <w:rPr>
          <w:rFonts w:hint="eastAsia" w:asciiTheme="minorEastAsia" w:hAnsiTheme="minorEastAsia"/>
          <w:szCs w:val="21"/>
        </w:rPr>
        <w:t>的电梯供货及安装项目（时间以完工证明材料为准），有</w:t>
      </w:r>
      <w:r>
        <w:rPr>
          <w:rFonts w:asciiTheme="minorEastAsia" w:hAnsiTheme="minorEastAsia"/>
          <w:szCs w:val="21"/>
        </w:rPr>
        <w:t>一个得</w:t>
      </w:r>
      <w:r>
        <w:rPr>
          <w:rFonts w:hint="eastAsia" w:asciiTheme="minorEastAsia" w:hAnsiTheme="minorEastAsia"/>
          <w:szCs w:val="21"/>
        </w:rPr>
        <w:t>5</w:t>
      </w:r>
      <w:r>
        <w:rPr>
          <w:rFonts w:asciiTheme="minorEastAsia" w:hAnsiTheme="minorEastAsia"/>
          <w:szCs w:val="21"/>
        </w:rPr>
        <w:t>分，满分</w:t>
      </w:r>
      <w:r>
        <w:rPr>
          <w:rFonts w:hint="eastAsia" w:asciiTheme="minorEastAsia" w:hAnsiTheme="minorEastAsia"/>
          <w:szCs w:val="21"/>
        </w:rPr>
        <w:t>5</w:t>
      </w:r>
      <w:r>
        <w:rPr>
          <w:rFonts w:asciiTheme="minorEastAsia" w:hAnsiTheme="minorEastAsia"/>
          <w:szCs w:val="21"/>
        </w:rPr>
        <w:t>分。</w:t>
      </w:r>
      <w:r>
        <w:rPr>
          <w:rFonts w:hint="eastAsia" w:asciiTheme="minorEastAsia" w:hAnsiTheme="minorEastAsia"/>
          <w:szCs w:val="21"/>
        </w:rPr>
        <w:t>提供合同及有效的完工证明材料原件扫描件，提供的证明材料须能反映相关的数据和内容，否则视为无效业绩。</w:t>
      </w:r>
    </w:p>
    <w:p>
      <w:pPr>
        <w:pStyle w:val="17"/>
        <w:spacing w:line="440" w:lineRule="exact"/>
        <w:outlineLvl w:val="1"/>
        <w:rPr>
          <w:rFonts w:asciiTheme="minorEastAsia" w:hAnsiTheme="minorEastAsia"/>
          <w:b/>
          <w:bCs/>
          <w:szCs w:val="21"/>
        </w:rPr>
      </w:pPr>
      <w:r>
        <w:rPr>
          <w:rFonts w:hint="eastAsia" w:asciiTheme="minorEastAsia" w:hAnsiTheme="minorEastAsia"/>
          <w:b/>
          <w:bCs/>
          <w:szCs w:val="21"/>
        </w:rPr>
        <w:t>五</w:t>
      </w:r>
      <w:r>
        <w:rPr>
          <w:rFonts w:asciiTheme="minorEastAsia" w:hAnsiTheme="minorEastAsia"/>
          <w:b/>
          <w:bCs/>
          <w:szCs w:val="21"/>
        </w:rPr>
        <w:t>、定标方法</w:t>
      </w:r>
    </w:p>
    <w:p>
      <w:pPr>
        <w:pStyle w:val="17"/>
        <w:spacing w:line="440" w:lineRule="exact"/>
        <w:ind w:firstLine="420" w:firstLineChars="200"/>
        <w:rPr>
          <w:rFonts w:asciiTheme="minorEastAsia" w:hAnsiTheme="minorEastAsia"/>
          <w:szCs w:val="21"/>
        </w:rPr>
      </w:pPr>
      <w:r>
        <w:rPr>
          <w:rFonts w:asciiTheme="minorEastAsia" w:hAnsiTheme="minorEastAsia"/>
          <w:szCs w:val="21"/>
        </w:rPr>
        <w:t>由评标委员会根据各投标人得分的高低依序推荐</w:t>
      </w:r>
      <w:r>
        <w:rPr>
          <w:rFonts w:hint="eastAsia" w:asciiTheme="minorEastAsia" w:hAnsiTheme="minorEastAsia"/>
          <w:szCs w:val="21"/>
        </w:rPr>
        <w:t>不超过3</w:t>
      </w:r>
      <w:r>
        <w:rPr>
          <w:rFonts w:asciiTheme="minorEastAsia" w:hAnsiTheme="minorEastAsia"/>
          <w:szCs w:val="21"/>
        </w:rPr>
        <w:t>家中标候选人，得分最高的投标人为第一中标候选人，得分次低的投标人作为第二中标候选人，</w:t>
      </w:r>
      <w:r>
        <w:rPr>
          <w:rFonts w:hint="eastAsia" w:asciiTheme="minorEastAsia" w:hAnsiTheme="minorEastAsia"/>
          <w:szCs w:val="21"/>
        </w:rPr>
        <w:t>以此类推</w:t>
      </w:r>
      <w:r>
        <w:rPr>
          <w:rFonts w:asciiTheme="minorEastAsia" w:hAnsiTheme="minorEastAsia"/>
          <w:szCs w:val="21"/>
        </w:rPr>
        <w:t>。当有两家及以上的投标人均得分相同且最高，则选择报价低的投标人为本工程中标人。</w:t>
      </w:r>
      <w:r>
        <w:rPr>
          <w:rFonts w:hint="eastAsia" w:asciiTheme="minorEastAsia" w:hAnsiTheme="minorEastAsia"/>
          <w:szCs w:val="21"/>
        </w:rPr>
        <w:t>投标报价也相等的，由招标人自行确定。</w:t>
      </w:r>
    </w:p>
    <w:p>
      <w:pPr>
        <w:pStyle w:val="17"/>
        <w:spacing w:line="440" w:lineRule="exact"/>
        <w:ind w:firstLine="420" w:firstLineChars="200"/>
        <w:rPr>
          <w:rFonts w:asciiTheme="minorEastAsia" w:hAnsiTheme="minorEastAsia"/>
          <w:szCs w:val="21"/>
        </w:rPr>
      </w:pPr>
      <w:r>
        <w:rPr>
          <w:rFonts w:asciiTheme="minorEastAsia" w:hAnsiTheme="minorEastAsia"/>
          <w:szCs w:val="21"/>
        </w:rPr>
        <w:t xml:space="preserve">评标过程中出现本评标办法未尽事宜，由评标委员会根据有关法律、法规讨论决定。   </w:t>
      </w:r>
    </w:p>
    <w:p>
      <w:pPr>
        <w:pStyle w:val="17"/>
        <w:spacing w:line="440" w:lineRule="exact"/>
        <w:outlineLvl w:val="1"/>
        <w:rPr>
          <w:rFonts w:asciiTheme="minorEastAsia" w:hAnsiTheme="minorEastAsia"/>
          <w:b/>
          <w:bCs/>
          <w:szCs w:val="21"/>
        </w:rPr>
      </w:pPr>
      <w:bookmarkStart w:id="4" w:name="_Toc16803"/>
      <w:r>
        <w:rPr>
          <w:rFonts w:hint="eastAsia" w:asciiTheme="minorEastAsia" w:hAnsiTheme="minorEastAsia"/>
          <w:b/>
          <w:bCs/>
          <w:szCs w:val="21"/>
        </w:rPr>
        <w:t>六、招标文件的获取</w:t>
      </w:r>
      <w:bookmarkEnd w:id="4"/>
    </w:p>
    <w:p>
      <w:pPr>
        <w:pStyle w:val="17"/>
        <w:spacing w:line="440" w:lineRule="exact"/>
        <w:ind w:firstLine="420" w:firstLineChars="200"/>
        <w:outlineLvl w:val="1"/>
        <w:rPr>
          <w:rFonts w:asciiTheme="minorEastAsia" w:hAnsiTheme="minorEastAsia"/>
          <w:szCs w:val="21"/>
        </w:rPr>
      </w:pPr>
      <w:r>
        <w:rPr>
          <w:rFonts w:hint="eastAsia" w:asciiTheme="minorEastAsia" w:hAnsiTheme="minorEastAsia"/>
          <w:szCs w:val="21"/>
        </w:rPr>
        <w:t>凡有意参加投标者，请于</w:t>
      </w:r>
      <w:r>
        <w:rPr>
          <w:rFonts w:hint="eastAsia" w:asciiTheme="minorEastAsia" w:hAnsiTheme="minorEastAsia"/>
          <w:szCs w:val="21"/>
          <w:u w:val="single"/>
        </w:rPr>
        <w:t>2021</w:t>
      </w:r>
      <w:r>
        <w:rPr>
          <w:rFonts w:hint="eastAsia" w:asciiTheme="minorEastAsia" w:hAnsiTheme="minorEastAsia"/>
          <w:szCs w:val="21"/>
        </w:rPr>
        <w:t>年</w:t>
      </w:r>
      <w:r>
        <w:rPr>
          <w:rFonts w:asciiTheme="minorEastAsia" w:hAnsiTheme="minorEastAsia"/>
          <w:szCs w:val="21"/>
          <w:u w:val="single"/>
        </w:rPr>
        <w:t>10</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u w:val="single"/>
          <w:lang w:val="en-US" w:eastAsia="zh-CN"/>
        </w:rPr>
        <w:t>22</w:t>
      </w:r>
      <w:r>
        <w:rPr>
          <w:rFonts w:hint="eastAsia" w:asciiTheme="minorEastAsia" w:hAnsiTheme="minorEastAsia"/>
          <w:szCs w:val="21"/>
          <w:u w:val="single"/>
        </w:rPr>
        <w:t xml:space="preserve">  </w:t>
      </w:r>
      <w:r>
        <w:rPr>
          <w:rFonts w:hint="eastAsia" w:asciiTheme="minorEastAsia" w:hAnsiTheme="minorEastAsia"/>
          <w:szCs w:val="21"/>
        </w:rPr>
        <w:t>日00：00至</w:t>
      </w:r>
      <w:r>
        <w:rPr>
          <w:rFonts w:hint="eastAsia" w:asciiTheme="minorEastAsia" w:hAnsiTheme="minorEastAsia"/>
          <w:szCs w:val="21"/>
          <w:u w:val="single"/>
        </w:rPr>
        <w:t>2021</w:t>
      </w:r>
      <w:r>
        <w:rPr>
          <w:rFonts w:hint="eastAsia" w:asciiTheme="minorEastAsia" w:hAnsiTheme="minorEastAsia"/>
          <w:szCs w:val="21"/>
        </w:rPr>
        <w:t>年</w:t>
      </w:r>
      <w:r>
        <w:rPr>
          <w:rFonts w:asciiTheme="minorEastAsia" w:hAnsiTheme="minorEastAsia"/>
          <w:szCs w:val="21"/>
          <w:u w:val="single"/>
        </w:rPr>
        <w:t>10</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u w:val="single"/>
          <w:lang w:val="en-US" w:eastAsia="zh-CN"/>
        </w:rPr>
        <w:t>26</w:t>
      </w:r>
      <w:r>
        <w:rPr>
          <w:rFonts w:hint="eastAsia" w:asciiTheme="minorEastAsia" w:hAnsiTheme="minorEastAsia"/>
          <w:szCs w:val="21"/>
          <w:u w:val="single"/>
        </w:rPr>
        <w:t xml:space="preserve">   </w:t>
      </w:r>
      <w:r>
        <w:rPr>
          <w:rFonts w:hint="eastAsia" w:asciiTheme="minorEastAsia" w:hAnsiTheme="minorEastAsia"/>
          <w:szCs w:val="21"/>
        </w:rPr>
        <w:t>日24：00</w:t>
      </w:r>
      <w:bookmarkStart w:id="5" w:name="_Toc21024"/>
      <w:r>
        <w:rPr>
          <w:rFonts w:hint="eastAsia" w:asciiTheme="minorEastAsia" w:hAnsiTheme="minorEastAsia"/>
          <w:szCs w:val="21"/>
        </w:rPr>
        <w:t>期间使用企业CA证书登录http://222.186.125.131:8083/TPBidder/memberframe/FrameAll，网上支付招标文件费用人民币305.00元（售后不退），并网上下载招标文件，逾期不得下载。</w:t>
      </w:r>
    </w:p>
    <w:p>
      <w:pPr>
        <w:pStyle w:val="17"/>
        <w:spacing w:line="440" w:lineRule="exact"/>
        <w:outlineLvl w:val="1"/>
        <w:rPr>
          <w:rFonts w:asciiTheme="minorEastAsia" w:hAnsiTheme="minorEastAsia"/>
          <w:b/>
          <w:bCs/>
          <w:szCs w:val="21"/>
        </w:rPr>
      </w:pPr>
      <w:r>
        <w:rPr>
          <w:rFonts w:hint="eastAsia" w:asciiTheme="minorEastAsia" w:hAnsiTheme="minorEastAsia"/>
          <w:b/>
          <w:bCs/>
          <w:szCs w:val="21"/>
        </w:rPr>
        <w:t>七、投标保证金</w:t>
      </w:r>
      <w:bookmarkEnd w:id="5"/>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（一）本项目投标保证金：</w:t>
      </w:r>
      <w:r>
        <w:rPr>
          <w:rFonts w:hint="eastAsia" w:asciiTheme="minorEastAsia" w:hAnsiTheme="minorEastAsia"/>
          <w:szCs w:val="21"/>
          <w:u w:val="single"/>
        </w:rPr>
        <w:t xml:space="preserve"> 伍</w:t>
      </w:r>
      <w:r>
        <w:rPr>
          <w:rFonts w:asciiTheme="minorEastAsia" w:hAnsiTheme="minorEastAsia"/>
          <w:szCs w:val="21"/>
          <w:u w:val="single"/>
        </w:rPr>
        <w:t xml:space="preserve"> </w:t>
      </w:r>
      <w:r>
        <w:rPr>
          <w:rFonts w:hint="eastAsia" w:asciiTheme="minorEastAsia" w:hAnsiTheme="minorEastAsia"/>
          <w:szCs w:val="21"/>
          <w:u w:val="single"/>
        </w:rPr>
        <w:t>万</w:t>
      </w:r>
      <w:r>
        <w:rPr>
          <w:rFonts w:hint="eastAsia" w:asciiTheme="minorEastAsia" w:hAnsiTheme="minorEastAsia"/>
          <w:szCs w:val="21"/>
        </w:rPr>
        <w:t>元（暂定），必须在截标、开标时间前通过本单位基本账户登录网上银行支付成功，否则投标无效。</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户名：丹阳市公共资源交易中心托管专户</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开户行：中国工商银行丹阳市和平桥支行</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账号：下载招标文件后在业务查询的 “获取子账户”模块中选定投标项目后“获取子商户号”，此随机生成子商户号即保证金支付账号。</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1.投标人在缴纳投标保证金时，应充分考虑银行汇款的时间误差风险。投标人缴纳投标保证金后，可通过“镇江市公共资源交易中心网”会员系统核实投标保证金的缴纳情况。如发现系统显示保证金未到账或企业的缴纳账号与企业诚信库中登记的基本账号不一致的，请及时与丹阳市公共资源交易中心（0511-86906601）联系。</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2. 保证金支付具体操作可登陆镇江市公共资源交易网（http://ggzy.zhenjiang.gov.cn/）-办事指南保证金缴纳流程。</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3.本项目投标保证金也可以用基本账户所在银行出具的银行保函方式缴纳，以银行保函方式缴纳投标保证金的，需将原件录入企业诚信库中，并在投标人基本情况表中从企业诚信库中挑选上传，如未挑选上传银行保函至投标文件中或提供的银行保函不满足要求的，则视为未按招标文件要求缴纳投标保证金。</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4.按规定已办理年度投标保证保险的投标人提交《年度投标保证保险已保证明》（年度投标保证保险的办理使用规则执行镇建招[2019]3号文）。</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5.重发公告或多次公告的项目，投标企业需按最新招标公告的要求重新缴纳投标保证金。</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6.投标保证金退还：投标保证金本息同时退还。为提高各方工作效率，在规定时间内，招标投标平台系统将自动办理投标保证金退还工作。如本项目招投标中遇异议、投诉等特殊情况，投标保证金退还按相关规定执行。</w:t>
      </w:r>
    </w:p>
    <w:p>
      <w:pPr>
        <w:pStyle w:val="17"/>
        <w:spacing w:line="440" w:lineRule="exact"/>
        <w:outlineLvl w:val="1"/>
        <w:rPr>
          <w:rFonts w:asciiTheme="minorEastAsia" w:hAnsiTheme="minorEastAsia"/>
          <w:b/>
          <w:bCs/>
          <w:szCs w:val="21"/>
        </w:rPr>
      </w:pPr>
      <w:r>
        <w:rPr>
          <w:rFonts w:hint="eastAsia" w:asciiTheme="minorEastAsia" w:hAnsiTheme="minorEastAsia"/>
          <w:b/>
          <w:bCs/>
          <w:szCs w:val="21"/>
        </w:rPr>
        <w:t>八、</w:t>
      </w:r>
      <w:r>
        <w:rPr>
          <w:rFonts w:asciiTheme="minorEastAsia" w:hAnsiTheme="minorEastAsia"/>
          <w:b/>
          <w:bCs/>
          <w:szCs w:val="21"/>
        </w:rPr>
        <w:t>其他</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本工程电子招投标活动中资格审查认定</w:t>
      </w:r>
      <w:r>
        <w:rPr>
          <w:rFonts w:hint="eastAsia" w:asciiTheme="minorEastAsia" w:hAnsiTheme="minorEastAsia"/>
          <w:szCs w:val="21"/>
        </w:rPr>
        <w:t>及有关投标评审材料</w:t>
      </w:r>
      <w:r>
        <w:rPr>
          <w:rFonts w:asciiTheme="minorEastAsia" w:hAnsiTheme="minorEastAsia"/>
          <w:szCs w:val="21"/>
        </w:rPr>
        <w:t>等以电子招标投标企业诚信库中的信息、数据为准，投标人需将招投标所需的所有材料录入至镇江市公共资源交易中心企业诚信库后</w:t>
      </w:r>
      <w:r>
        <w:rPr>
          <w:rFonts w:hint="eastAsia" w:asciiTheme="minorEastAsia" w:hAnsiTheme="minorEastAsia"/>
          <w:szCs w:val="21"/>
        </w:rPr>
        <w:t>根据实际情况</w:t>
      </w:r>
      <w:r>
        <w:rPr>
          <w:rFonts w:asciiTheme="minorEastAsia" w:hAnsiTheme="minorEastAsia"/>
          <w:szCs w:val="21"/>
        </w:rPr>
        <w:t>选择编入投标文件</w:t>
      </w:r>
      <w:r>
        <w:rPr>
          <w:rFonts w:hint="eastAsia" w:asciiTheme="minorEastAsia" w:hAnsiTheme="minorEastAsia"/>
          <w:szCs w:val="21"/>
        </w:rPr>
        <w:t>；</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投标人存在串通投标、弄虚作假等违法违规行为，或者撤销投标、或资格预审合格的投标人放弃投标、放弃中标资格的，不得参加该项目重新招标的投标，并依法予以处理。</w:t>
      </w:r>
    </w:p>
    <w:p>
      <w:pPr>
        <w:pStyle w:val="17"/>
        <w:spacing w:line="440" w:lineRule="exact"/>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资格审查方式及入围方法和数量：本工程采用资格后审方式，资格审查通过全部入围。</w:t>
      </w:r>
    </w:p>
    <w:p>
      <w:pPr>
        <w:pStyle w:val="17"/>
        <w:spacing w:line="440" w:lineRule="exact"/>
        <w:ind w:firstLine="420" w:firstLineChars="200"/>
        <w:rPr>
          <w:rFonts w:asciiTheme="minorEastAsia" w:hAnsiTheme="minorEastAsia"/>
          <w:szCs w:val="21"/>
        </w:rPr>
      </w:pPr>
      <w:r>
        <w:rPr>
          <w:rFonts w:asciiTheme="minorEastAsia" w:hAnsiTheme="minorEastAsia"/>
          <w:szCs w:val="21"/>
        </w:rPr>
        <w:t>（4）本次招标公告日期从2021年</w:t>
      </w:r>
      <w:r>
        <w:rPr>
          <w:rFonts w:asciiTheme="minorEastAsia" w:hAnsiTheme="minorEastAsia"/>
          <w:szCs w:val="21"/>
          <w:u w:val="single"/>
        </w:rPr>
        <w:t>10</w:t>
      </w:r>
      <w:r>
        <w:rPr>
          <w:rFonts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u w:val="single"/>
          <w:lang w:val="en-US" w:eastAsia="zh-CN"/>
        </w:rPr>
        <w:t>22</w:t>
      </w:r>
      <w:r>
        <w:rPr>
          <w:rFonts w:hint="eastAsia" w:asciiTheme="minorEastAsia" w:hAnsiTheme="minorEastAsia"/>
          <w:szCs w:val="21"/>
          <w:u w:val="single"/>
        </w:rPr>
        <w:t xml:space="preserve">  </w:t>
      </w:r>
      <w:r>
        <w:rPr>
          <w:rFonts w:asciiTheme="minorEastAsia" w:hAnsiTheme="minorEastAsia"/>
          <w:szCs w:val="21"/>
        </w:rPr>
        <w:t>日 00：00至2021年</w:t>
      </w:r>
      <w:r>
        <w:rPr>
          <w:rFonts w:asciiTheme="minorEastAsia" w:hAnsiTheme="minorEastAsia"/>
          <w:szCs w:val="21"/>
          <w:u w:val="single"/>
        </w:rPr>
        <w:t>10</w:t>
      </w:r>
      <w:r>
        <w:rPr>
          <w:rFonts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u w:val="single"/>
          <w:lang w:val="en-US" w:eastAsia="zh-CN"/>
        </w:rPr>
        <w:t>26</w:t>
      </w:r>
      <w:r>
        <w:rPr>
          <w:rFonts w:hint="eastAsia" w:asciiTheme="minorEastAsia" w:hAnsiTheme="minorEastAsia"/>
          <w:szCs w:val="21"/>
          <w:u w:val="single"/>
        </w:rPr>
        <w:t xml:space="preserve">  </w:t>
      </w:r>
      <w:r>
        <w:rPr>
          <w:rFonts w:asciiTheme="minorEastAsia" w:hAnsiTheme="minorEastAsia"/>
          <w:szCs w:val="21"/>
        </w:rPr>
        <w:t>日 24：00止</w:t>
      </w:r>
      <w:r>
        <w:rPr>
          <w:rFonts w:hint="eastAsia" w:asciiTheme="minorEastAsia" w:hAnsiTheme="minorEastAsia"/>
          <w:szCs w:val="21"/>
        </w:rPr>
        <w:t>。</w:t>
      </w:r>
    </w:p>
    <w:p>
      <w:pPr>
        <w:pStyle w:val="17"/>
        <w:spacing w:line="440" w:lineRule="exact"/>
        <w:ind w:firstLine="420" w:firstLineChars="20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投标截止时间：2021年</w:t>
      </w:r>
      <w:r>
        <w:rPr>
          <w:rFonts w:asciiTheme="minorEastAsia" w:hAnsiTheme="minorEastAsia"/>
          <w:szCs w:val="21"/>
          <w:u w:val="single"/>
        </w:rPr>
        <w:t>1</w:t>
      </w:r>
      <w:r>
        <w:rPr>
          <w:rFonts w:hint="eastAsia" w:asciiTheme="minorEastAsia" w:hAnsiTheme="minorEastAsia"/>
          <w:szCs w:val="21"/>
          <w:u w:val="single"/>
          <w:lang w:val="en-US" w:eastAsia="zh-CN"/>
        </w:rPr>
        <w:t>1</w:t>
      </w:r>
      <w:r>
        <w:rPr>
          <w:rFonts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u w:val="single"/>
          <w:lang w:val="en-US" w:eastAsia="zh-CN"/>
        </w:rPr>
        <w:t>11</w:t>
      </w:r>
      <w:r>
        <w:rPr>
          <w:rFonts w:hint="eastAsia" w:asciiTheme="minorEastAsia" w:hAnsiTheme="minorEastAsia"/>
          <w:szCs w:val="21"/>
          <w:u w:val="single"/>
        </w:rPr>
        <w:t xml:space="preserve"> </w:t>
      </w:r>
      <w:r>
        <w:rPr>
          <w:rFonts w:asciiTheme="minorEastAsia" w:hAnsiTheme="minorEastAsia"/>
          <w:szCs w:val="21"/>
        </w:rPr>
        <w:t>日</w:t>
      </w:r>
      <w:r>
        <w:rPr>
          <w:rFonts w:hint="eastAsia" w:asciiTheme="minorEastAsia" w:hAnsiTheme="minorEastAsia"/>
          <w:szCs w:val="21"/>
        </w:rPr>
        <w:t xml:space="preserve"> </w:t>
      </w:r>
      <w:r>
        <w:rPr>
          <w:rFonts w:asciiTheme="minorEastAsia" w:hAnsiTheme="minorEastAsia"/>
          <w:szCs w:val="21"/>
        </w:rPr>
        <w:t>上午</w:t>
      </w:r>
      <w:r>
        <w:rPr>
          <w:rFonts w:hint="eastAsia" w:asciiTheme="minorEastAsia" w:hAnsiTheme="minorEastAsia"/>
          <w:szCs w:val="21"/>
          <w:u w:val="single"/>
        </w:rPr>
        <w:t>09</w:t>
      </w:r>
      <w:r>
        <w:rPr>
          <w:rFonts w:asciiTheme="minorEastAsia" w:hAnsiTheme="minorEastAsia"/>
          <w:szCs w:val="21"/>
        </w:rPr>
        <w:t>时</w:t>
      </w:r>
      <w:r>
        <w:rPr>
          <w:rFonts w:hint="eastAsia" w:asciiTheme="minorEastAsia" w:hAnsiTheme="minorEastAsia"/>
          <w:szCs w:val="21"/>
          <w:u w:val="single"/>
        </w:rPr>
        <w:t>30</w:t>
      </w:r>
      <w:r>
        <w:rPr>
          <w:rFonts w:asciiTheme="minorEastAsia" w:hAnsiTheme="minorEastAsia"/>
          <w:szCs w:val="21"/>
        </w:rPr>
        <w:t>分</w:t>
      </w:r>
      <w:r>
        <w:rPr>
          <w:rFonts w:hint="eastAsia" w:asciiTheme="minorEastAsia" w:hAnsiTheme="minorEastAsia"/>
          <w:szCs w:val="21"/>
        </w:rPr>
        <w:t>。</w:t>
      </w:r>
    </w:p>
    <w:p>
      <w:pPr>
        <w:pStyle w:val="17"/>
        <w:spacing w:line="440" w:lineRule="exact"/>
        <w:ind w:firstLine="420" w:firstLineChars="20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6</w:t>
      </w:r>
      <w:r>
        <w:rPr>
          <w:rFonts w:asciiTheme="minorEastAsia" w:hAnsiTheme="minorEastAsia"/>
          <w:szCs w:val="21"/>
        </w:rPr>
        <w:t>）</w:t>
      </w:r>
      <w:r>
        <w:rPr>
          <w:rFonts w:hint="eastAsia" w:asciiTheme="minorEastAsia" w:hAnsiTheme="minorEastAsia"/>
          <w:szCs w:val="21"/>
        </w:rPr>
        <w:t>异议与投诉：本项目的投标人或者其他利害关系人认为本次招投标活动不符合法律、行政法规和规章规定的，可以依法提出异议或投诉。异议或投诉必须在规定的时限内严格按照苏建规字[2016]4号和苏建规字[2017]1号文规定的方式和程序，通过“镇江市有形建筑市场开放式应用信息平台”网上提出。招标人或监管部门将依法受理和处理异议或投诉。投标人或者其他利害关系人对招标文件（含招标公告）、开标和评标结果提出投诉的，应当先向招标人提出异议。异议和投诉均应有明确的请求和必要的证明材料，猜测式、怀疑式的异议和投诉将不被接受。</w:t>
      </w:r>
    </w:p>
    <w:p>
      <w:pPr>
        <w:pStyle w:val="17"/>
        <w:spacing w:line="440" w:lineRule="exact"/>
        <w:outlineLvl w:val="1"/>
        <w:rPr>
          <w:rFonts w:asciiTheme="minorEastAsia" w:hAnsiTheme="minorEastAsia"/>
          <w:b/>
          <w:bCs/>
          <w:szCs w:val="21"/>
        </w:rPr>
      </w:pPr>
      <w:r>
        <w:rPr>
          <w:rFonts w:hint="eastAsia" w:asciiTheme="minorEastAsia" w:hAnsiTheme="minorEastAsia"/>
          <w:b/>
          <w:bCs/>
          <w:szCs w:val="21"/>
        </w:rPr>
        <w:t>九、发布公告的媒介</w:t>
      </w:r>
    </w:p>
    <w:p>
      <w:pPr>
        <w:pStyle w:val="17"/>
        <w:spacing w:line="440" w:lineRule="exact"/>
        <w:ind w:firstLine="420" w:firstLineChars="200"/>
        <w:rPr>
          <w:rFonts w:asciiTheme="minorEastAsia" w:hAnsiTheme="minorEastAsia"/>
          <w:szCs w:val="21"/>
        </w:rPr>
      </w:pPr>
      <w:r>
        <w:rPr>
          <w:rFonts w:asciiTheme="minorEastAsia" w:hAnsiTheme="minorEastAsia"/>
          <w:szCs w:val="21"/>
        </w:rPr>
        <w:t>本次招标公告同时在江苏建设工程招标网、镇江市公共资源交易电子服务平台</w:t>
      </w:r>
      <w:r>
        <w:rPr>
          <w:rFonts w:hint="eastAsia" w:asciiTheme="minorEastAsia" w:hAnsiTheme="minorEastAsia"/>
          <w:szCs w:val="21"/>
        </w:rPr>
        <w:t>（</w:t>
      </w:r>
      <w:r>
        <w:rPr>
          <w:rFonts w:asciiTheme="minorEastAsia" w:hAnsiTheme="minorEastAsia"/>
          <w:szCs w:val="21"/>
        </w:rPr>
        <w:t>发布公告的媒介名称</w:t>
      </w:r>
      <w:r>
        <w:rPr>
          <w:rFonts w:hint="eastAsia" w:asciiTheme="minorEastAsia" w:hAnsiTheme="minorEastAsia"/>
          <w:szCs w:val="21"/>
        </w:rPr>
        <w:t>）</w:t>
      </w:r>
      <w:r>
        <w:rPr>
          <w:rFonts w:asciiTheme="minorEastAsia" w:hAnsiTheme="minorEastAsia"/>
          <w:szCs w:val="21"/>
        </w:rPr>
        <w:t>上发布</w:t>
      </w:r>
      <w:r>
        <w:rPr>
          <w:rFonts w:hint="eastAsia" w:asciiTheme="minorEastAsia" w:hAnsiTheme="minorEastAsia"/>
          <w:szCs w:val="21"/>
        </w:rPr>
        <w:t>；</w:t>
      </w:r>
      <w:r>
        <w:rPr>
          <w:rFonts w:asciiTheme="minorEastAsia" w:hAnsiTheme="minorEastAsia"/>
          <w:szCs w:val="21"/>
        </w:rPr>
        <w:t>本次招标公告为第</w:t>
      </w:r>
      <w:r>
        <w:rPr>
          <w:rFonts w:hint="eastAsia" w:asciiTheme="minorEastAsia" w:hAnsiTheme="minorEastAsia"/>
          <w:szCs w:val="21"/>
        </w:rPr>
        <w:t>一</w:t>
      </w:r>
      <w:r>
        <w:rPr>
          <w:rFonts w:asciiTheme="minorEastAsia" w:hAnsiTheme="minorEastAsia"/>
          <w:szCs w:val="21"/>
        </w:rPr>
        <w:t>次发布。</w:t>
      </w:r>
    </w:p>
    <w:p>
      <w:pPr>
        <w:pStyle w:val="17"/>
        <w:spacing w:line="440" w:lineRule="exact"/>
        <w:outlineLvl w:val="1"/>
        <w:rPr>
          <w:rFonts w:asciiTheme="minorEastAsia" w:hAnsiTheme="minorEastAsia"/>
          <w:b/>
          <w:bCs/>
          <w:szCs w:val="21"/>
        </w:rPr>
      </w:pPr>
      <w:r>
        <w:rPr>
          <w:rFonts w:asciiTheme="minorEastAsia" w:hAnsiTheme="minorEastAsia"/>
          <w:b/>
          <w:bCs/>
          <w:szCs w:val="21"/>
        </w:rPr>
        <w:t>十 、联系方式招标人</w:t>
      </w:r>
    </w:p>
    <w:p>
      <w:pPr>
        <w:pStyle w:val="37"/>
        <w:spacing w:before="0" w:beforeAutospacing="0" w:after="0" w:afterAutospacing="0" w:line="440" w:lineRule="exact"/>
        <w:ind w:firstLine="420"/>
        <w:outlineLvl w:val="2"/>
        <w:rPr>
          <w:rFonts w:asciiTheme="minorEastAsia" w:hAnsiTheme="minorEastAsia" w:eastAsiaTheme="minorEastAsia"/>
          <w:szCs w:val="21"/>
        </w:rPr>
      </w:pPr>
      <w:r>
        <w:rPr>
          <w:rFonts w:hint="eastAsia" w:asciiTheme="minorEastAsia" w:hAnsiTheme="minorEastAsia" w:eastAsiaTheme="minorEastAsia"/>
          <w:szCs w:val="21"/>
        </w:rPr>
        <w:t>10.1招标主体</w:t>
      </w:r>
    </w:p>
    <w:tbl>
      <w:tblPr>
        <w:tblStyle w:val="40"/>
        <w:tblW w:w="0" w:type="auto"/>
        <w:tblInd w:w="461" w:type="dxa"/>
        <w:tblLayout w:type="autofit"/>
        <w:tblCellMar>
          <w:top w:w="0" w:type="dxa"/>
          <w:left w:w="108" w:type="dxa"/>
          <w:bottom w:w="0" w:type="dxa"/>
          <w:right w:w="108" w:type="dxa"/>
        </w:tblCellMar>
      </w:tblPr>
      <w:tblGrid>
        <w:gridCol w:w="4534"/>
        <w:gridCol w:w="4230"/>
      </w:tblGrid>
      <w:tr>
        <w:tblPrEx>
          <w:tblCellMar>
            <w:top w:w="0" w:type="dxa"/>
            <w:left w:w="108" w:type="dxa"/>
            <w:bottom w:w="0" w:type="dxa"/>
            <w:right w:w="108" w:type="dxa"/>
          </w:tblCellMar>
        </w:tblPrEx>
        <w:tc>
          <w:tcPr>
            <w:tcW w:w="4534"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招标人地址：</w:t>
            </w:r>
            <w:r>
              <w:rPr>
                <w:rFonts w:hint="eastAsia" w:asciiTheme="minorEastAsia" w:hAnsiTheme="minorEastAsia" w:eastAsiaTheme="minorEastAsia"/>
                <w:szCs w:val="21"/>
                <w:u w:val="single"/>
              </w:rPr>
              <w:t>江苏省镇江市丹阳市伊甸园路丹阳高新区科创园</w:t>
            </w:r>
            <w:r>
              <w:rPr>
                <w:rFonts w:asciiTheme="minorEastAsia" w:hAnsiTheme="minorEastAsia" w:eastAsiaTheme="minorEastAsia"/>
                <w:szCs w:val="21"/>
                <w:u w:val="single"/>
              </w:rPr>
              <w:t>C1栋406室</w:t>
            </w:r>
          </w:p>
        </w:tc>
        <w:tc>
          <w:tcPr>
            <w:tcW w:w="4230"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招标代理机构地址：</w:t>
            </w:r>
            <w:r>
              <w:rPr>
                <w:rFonts w:hint="eastAsia" w:asciiTheme="minorEastAsia" w:hAnsiTheme="minorEastAsia" w:eastAsiaTheme="minorEastAsia"/>
                <w:szCs w:val="21"/>
                <w:u w:val="single"/>
              </w:rPr>
              <w:t>丹阳市开发区兰陵路</w:t>
            </w:r>
            <w:r>
              <w:rPr>
                <w:rFonts w:asciiTheme="minorEastAsia" w:hAnsiTheme="minorEastAsia" w:eastAsiaTheme="minorEastAsia"/>
                <w:szCs w:val="21"/>
                <w:u w:val="single"/>
              </w:rPr>
              <w:t>9号丽都公寓15楼</w:t>
            </w:r>
          </w:p>
        </w:tc>
      </w:tr>
      <w:tr>
        <w:tc>
          <w:tcPr>
            <w:tcW w:w="4534"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联系人：</w:t>
            </w:r>
            <w:r>
              <w:rPr>
                <w:rFonts w:hint="eastAsia" w:asciiTheme="minorEastAsia" w:hAnsiTheme="minorEastAsia" w:eastAsiaTheme="minorEastAsia"/>
                <w:szCs w:val="21"/>
                <w:u w:val="single"/>
              </w:rPr>
              <w:t>李宁</w:t>
            </w:r>
          </w:p>
        </w:tc>
        <w:tc>
          <w:tcPr>
            <w:tcW w:w="4230"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联系人：</w:t>
            </w:r>
            <w:r>
              <w:rPr>
                <w:rFonts w:hint="eastAsia" w:asciiTheme="minorEastAsia" w:hAnsiTheme="minorEastAsia" w:eastAsiaTheme="minorEastAsia"/>
                <w:szCs w:val="21"/>
                <w:u w:val="single"/>
              </w:rPr>
              <w:t>朱叶萍</w:t>
            </w:r>
          </w:p>
        </w:tc>
      </w:tr>
      <w:tr>
        <w:tblPrEx>
          <w:tblCellMar>
            <w:top w:w="0" w:type="dxa"/>
            <w:left w:w="108" w:type="dxa"/>
            <w:bottom w:w="0" w:type="dxa"/>
            <w:right w:w="108" w:type="dxa"/>
          </w:tblCellMar>
        </w:tblPrEx>
        <w:trPr>
          <w:trHeight w:val="379" w:hRule="atLeast"/>
        </w:trPr>
        <w:tc>
          <w:tcPr>
            <w:tcW w:w="4534"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电  话：</w:t>
            </w:r>
            <w:r>
              <w:rPr>
                <w:rFonts w:asciiTheme="minorEastAsia" w:hAnsiTheme="minorEastAsia" w:eastAsiaTheme="minorEastAsia"/>
                <w:szCs w:val="21"/>
                <w:u w:val="single"/>
              </w:rPr>
              <w:t>13620965693</w:t>
            </w:r>
          </w:p>
        </w:tc>
        <w:tc>
          <w:tcPr>
            <w:tcW w:w="4230"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电  话：</w:t>
            </w:r>
            <w:r>
              <w:rPr>
                <w:rFonts w:hint="eastAsia" w:asciiTheme="minorEastAsia" w:hAnsiTheme="minorEastAsia" w:eastAsiaTheme="minorEastAsia"/>
                <w:szCs w:val="21"/>
                <w:u w:val="single"/>
              </w:rPr>
              <w:t>0511-86921808</w:t>
            </w:r>
          </w:p>
        </w:tc>
      </w:tr>
      <w:tr>
        <w:tc>
          <w:tcPr>
            <w:tcW w:w="4534"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传  真：</w:t>
            </w:r>
            <w:r>
              <w:rPr>
                <w:rFonts w:hint="eastAsia" w:asciiTheme="minorEastAsia" w:hAnsiTheme="minorEastAsia" w:eastAsiaTheme="minorEastAsia"/>
                <w:szCs w:val="21"/>
                <w:u w:val="single"/>
              </w:rPr>
              <w:t xml:space="preserve">     /     </w:t>
            </w:r>
          </w:p>
        </w:tc>
        <w:tc>
          <w:tcPr>
            <w:tcW w:w="4230"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传  真：</w:t>
            </w:r>
            <w:r>
              <w:rPr>
                <w:rFonts w:hint="eastAsia" w:asciiTheme="minorEastAsia" w:hAnsiTheme="minorEastAsia" w:eastAsiaTheme="minorEastAsia"/>
                <w:szCs w:val="21"/>
                <w:u w:val="single"/>
              </w:rPr>
              <w:t>0511-86921808</w:t>
            </w:r>
          </w:p>
        </w:tc>
      </w:tr>
      <w:tr>
        <w:tblPrEx>
          <w:tblCellMar>
            <w:top w:w="0" w:type="dxa"/>
            <w:left w:w="108" w:type="dxa"/>
            <w:bottom w:w="0" w:type="dxa"/>
            <w:right w:w="108" w:type="dxa"/>
          </w:tblCellMar>
        </w:tblPrEx>
        <w:tc>
          <w:tcPr>
            <w:tcW w:w="4534"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邮  编：</w:t>
            </w:r>
            <w:r>
              <w:rPr>
                <w:rFonts w:hint="eastAsia" w:asciiTheme="minorEastAsia" w:hAnsiTheme="minorEastAsia" w:eastAsiaTheme="minorEastAsia"/>
                <w:szCs w:val="21"/>
                <w:u w:val="single"/>
              </w:rPr>
              <w:t xml:space="preserve">   212300   </w:t>
            </w:r>
          </w:p>
        </w:tc>
        <w:tc>
          <w:tcPr>
            <w:tcW w:w="4230"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邮  编：</w:t>
            </w:r>
            <w:r>
              <w:rPr>
                <w:rFonts w:hint="eastAsia" w:asciiTheme="minorEastAsia" w:hAnsiTheme="minorEastAsia" w:eastAsiaTheme="minorEastAsia"/>
                <w:szCs w:val="21"/>
                <w:u w:val="single"/>
              </w:rPr>
              <w:t xml:space="preserve">   212300   </w:t>
            </w:r>
          </w:p>
        </w:tc>
      </w:tr>
      <w:tr>
        <w:tblPrEx>
          <w:tblCellMar>
            <w:top w:w="0" w:type="dxa"/>
            <w:left w:w="108" w:type="dxa"/>
            <w:bottom w:w="0" w:type="dxa"/>
            <w:right w:w="108" w:type="dxa"/>
          </w:tblCellMar>
        </w:tblPrEx>
        <w:tc>
          <w:tcPr>
            <w:tcW w:w="4534"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E—mail：</w:t>
            </w:r>
            <w:r>
              <w:rPr>
                <w:rFonts w:hint="eastAsia" w:asciiTheme="minorEastAsia" w:hAnsiTheme="minorEastAsia" w:eastAsiaTheme="minorEastAsia"/>
                <w:szCs w:val="21"/>
                <w:u w:val="single"/>
              </w:rPr>
              <w:t xml:space="preserve">     /    </w:t>
            </w:r>
          </w:p>
        </w:tc>
        <w:tc>
          <w:tcPr>
            <w:tcW w:w="4230" w:type="dxa"/>
            <w:tcBorders>
              <w:tl2br w:val="nil"/>
              <w:tr2bl w:val="nil"/>
            </w:tcBorders>
            <w:shd w:val="clear" w:color="auto" w:fill="auto"/>
          </w:tcPr>
          <w:p>
            <w:pPr>
              <w:pStyle w:val="37"/>
              <w:spacing w:before="0" w:beforeAutospacing="0" w:after="0" w:afterAutospacing="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E—mail：</w:t>
            </w:r>
            <w:r>
              <w:rPr>
                <w:rFonts w:hint="eastAsia" w:asciiTheme="minorEastAsia" w:hAnsiTheme="minorEastAsia" w:eastAsiaTheme="minorEastAsia"/>
                <w:szCs w:val="21"/>
                <w:u w:val="single"/>
              </w:rPr>
              <w:t>453093965@qq.com</w:t>
            </w:r>
          </w:p>
        </w:tc>
      </w:tr>
    </w:tbl>
    <w:p>
      <w:pPr>
        <w:pStyle w:val="37"/>
        <w:spacing w:before="0" w:beforeAutospacing="0" w:after="0" w:afterAutospacing="0" w:line="440" w:lineRule="exact"/>
        <w:ind w:firstLine="420"/>
        <w:outlineLvl w:val="2"/>
        <w:rPr>
          <w:rFonts w:asciiTheme="minorEastAsia" w:hAnsiTheme="minorEastAsia" w:eastAsiaTheme="minorEastAsia"/>
          <w:szCs w:val="21"/>
        </w:rPr>
      </w:pPr>
      <w:r>
        <w:rPr>
          <w:rFonts w:hint="eastAsia" w:asciiTheme="minorEastAsia" w:hAnsiTheme="minorEastAsia" w:eastAsiaTheme="minorEastAsia"/>
          <w:szCs w:val="21"/>
        </w:rPr>
        <w:t>10.2相关部门</w:t>
      </w:r>
    </w:p>
    <w:p>
      <w:pPr>
        <w:pStyle w:val="37"/>
        <w:spacing w:before="0" w:beforeAutospacing="0" w:after="0" w:afterAutospacing="0" w:line="440" w:lineRule="exact"/>
        <w:ind w:firstLine="420"/>
        <w:rPr>
          <w:rFonts w:asciiTheme="minorEastAsia" w:hAnsiTheme="minorEastAsia" w:eastAsiaTheme="minorEastAsia"/>
          <w:szCs w:val="21"/>
          <w:u w:val="single"/>
        </w:rPr>
      </w:pPr>
      <w:r>
        <w:rPr>
          <w:rFonts w:hint="eastAsia" w:asciiTheme="minorEastAsia" w:hAnsiTheme="minorEastAsia" w:eastAsiaTheme="minorEastAsia"/>
          <w:szCs w:val="21"/>
        </w:rPr>
        <w:t>公共资源交易部门：</w:t>
      </w:r>
      <w:r>
        <w:rPr>
          <w:rFonts w:hint="eastAsia" w:asciiTheme="minorEastAsia" w:hAnsiTheme="minorEastAsia" w:eastAsiaTheme="minorEastAsia"/>
          <w:szCs w:val="21"/>
          <w:u w:val="single"/>
        </w:rPr>
        <w:t>丹阳市公共资源交易中心</w:t>
      </w:r>
    </w:p>
    <w:p>
      <w:pPr>
        <w:pStyle w:val="37"/>
        <w:spacing w:before="0" w:beforeAutospacing="0" w:after="0" w:afterAutospacing="0" w:line="440" w:lineRule="exact"/>
        <w:ind w:firstLine="420"/>
        <w:rPr>
          <w:rFonts w:asciiTheme="minorEastAsia" w:hAnsiTheme="minorEastAsia" w:eastAsiaTheme="minorEastAsia"/>
          <w:szCs w:val="21"/>
        </w:rPr>
      </w:pPr>
      <w:r>
        <w:rPr>
          <w:rFonts w:hint="eastAsia" w:asciiTheme="minorEastAsia" w:hAnsiTheme="minorEastAsia" w:eastAsiaTheme="minorEastAsia"/>
          <w:szCs w:val="21"/>
        </w:rPr>
        <w:t>工程交易科联系电话：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w:t>
      </w:r>
    </w:p>
    <w:p>
      <w:pPr>
        <w:pStyle w:val="37"/>
        <w:spacing w:before="0" w:beforeAutospacing="0" w:after="0" w:afterAutospacing="0" w:line="440" w:lineRule="exact"/>
        <w:ind w:firstLine="420"/>
        <w:jc w:val="both"/>
        <w:rPr>
          <w:rFonts w:asciiTheme="minorEastAsia" w:hAnsiTheme="minorEastAsia" w:eastAsiaTheme="minorEastAsia"/>
          <w:szCs w:val="21"/>
        </w:rPr>
      </w:pPr>
      <w:r>
        <w:rPr>
          <w:rFonts w:hint="eastAsia" w:asciiTheme="minorEastAsia" w:hAnsiTheme="minorEastAsia" w:eastAsiaTheme="minorEastAsia"/>
          <w:szCs w:val="21"/>
        </w:rPr>
        <w:t>网络信息科联系电话：</w:t>
      </w:r>
      <w:r>
        <w:rPr>
          <w:rFonts w:hint="eastAsia" w:asciiTheme="minorEastAsia" w:hAnsiTheme="minorEastAsia" w:eastAsiaTheme="minorEastAsia"/>
          <w:szCs w:val="21"/>
          <w:u w:val="single"/>
        </w:rPr>
        <w:t>0511-86906605</w:t>
      </w:r>
      <w:r>
        <w:rPr>
          <w:rFonts w:hint="eastAsia" w:asciiTheme="minorEastAsia" w:hAnsiTheme="minorEastAsia" w:eastAsiaTheme="minorEastAsia"/>
          <w:szCs w:val="21"/>
        </w:rPr>
        <w:t xml:space="preserve">                  </w:t>
      </w:r>
    </w:p>
    <w:p>
      <w:pPr>
        <w:pStyle w:val="37"/>
        <w:spacing w:before="0" w:beforeAutospacing="0" w:after="0" w:afterAutospacing="0" w:line="440" w:lineRule="exact"/>
        <w:ind w:firstLine="420"/>
        <w:rPr>
          <w:rFonts w:asciiTheme="minorEastAsia" w:hAnsiTheme="minorEastAsia" w:eastAsiaTheme="minorEastAsia"/>
          <w:szCs w:val="21"/>
        </w:rPr>
      </w:pPr>
      <w:r>
        <w:rPr>
          <w:rFonts w:hint="eastAsia" w:asciiTheme="minorEastAsia" w:hAnsiTheme="minorEastAsia" w:eastAsiaTheme="minorEastAsia"/>
          <w:szCs w:val="21"/>
        </w:rPr>
        <w:t>招投标行政监督部门：</w:t>
      </w:r>
      <w:r>
        <w:rPr>
          <w:rFonts w:hint="eastAsia" w:asciiTheme="minorEastAsia" w:hAnsiTheme="minorEastAsia" w:eastAsiaTheme="minorEastAsia"/>
          <w:szCs w:val="21"/>
          <w:u w:val="single"/>
        </w:rPr>
        <w:t>丹阳市建设工程招标投标管理办公室</w:t>
      </w:r>
    </w:p>
    <w:p>
      <w:pPr>
        <w:pStyle w:val="37"/>
        <w:spacing w:before="0" w:beforeAutospacing="0" w:after="0" w:afterAutospacing="0" w:line="440" w:lineRule="exact"/>
        <w:ind w:firstLine="420"/>
        <w:rPr>
          <w:rFonts w:asciiTheme="minorEastAsia" w:hAnsiTheme="minorEastAsia" w:eastAsiaTheme="minorEastAsia"/>
          <w:szCs w:val="21"/>
        </w:rPr>
      </w:pP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0511-86568807</w:t>
      </w:r>
    </w:p>
    <w:p>
      <w:pPr>
        <w:pStyle w:val="37"/>
        <w:spacing w:before="0" w:beforeAutospacing="0" w:after="0" w:afterAutospacing="0" w:line="440" w:lineRule="exact"/>
        <w:ind w:firstLine="420"/>
        <w:jc w:val="both"/>
        <w:outlineLvl w:val="2"/>
        <w:rPr>
          <w:rFonts w:asciiTheme="minorEastAsia" w:hAnsiTheme="minorEastAsia" w:eastAsiaTheme="minorEastAsia"/>
          <w:szCs w:val="21"/>
        </w:rPr>
      </w:pPr>
      <w:r>
        <w:rPr>
          <w:rFonts w:hint="eastAsia" w:asciiTheme="minorEastAsia" w:hAnsiTheme="minorEastAsia" w:eastAsiaTheme="minorEastAsia"/>
          <w:szCs w:val="21"/>
        </w:rPr>
        <w:t>10.3技术支持</w:t>
      </w:r>
    </w:p>
    <w:p>
      <w:pPr>
        <w:pStyle w:val="37"/>
        <w:spacing w:before="0" w:beforeAutospacing="0" w:after="0" w:afterAutospacing="0" w:line="440" w:lineRule="exact"/>
        <w:ind w:firstLine="420"/>
        <w:jc w:val="both"/>
        <w:rPr>
          <w:rFonts w:asciiTheme="minorEastAsia" w:hAnsiTheme="minorEastAsia" w:eastAsiaTheme="minorEastAsia"/>
          <w:szCs w:val="21"/>
        </w:rPr>
      </w:pPr>
      <w:r>
        <w:rPr>
          <w:rFonts w:hint="eastAsia" w:asciiTheme="minorEastAsia" w:hAnsiTheme="minorEastAsia" w:eastAsiaTheme="minorEastAsia"/>
          <w:szCs w:val="21"/>
        </w:rPr>
        <w:t>CA签章办理指南：</w:t>
      </w:r>
      <w:r>
        <w:fldChar w:fldCharType="begin"/>
      </w:r>
      <w:r>
        <w:instrText xml:space="preserve"> HYPERLINK "http://ggzy.zhenjiang.gov.cn/051/051002/carelated.html" </w:instrText>
      </w:r>
      <w:r>
        <w:fldChar w:fldCharType="separate"/>
      </w:r>
      <w:r>
        <w:rPr>
          <w:rStyle w:val="47"/>
          <w:rFonts w:hint="eastAsia" w:asciiTheme="minorEastAsia" w:hAnsiTheme="minorEastAsia" w:eastAsiaTheme="minorEastAsia"/>
          <w:szCs w:val="21"/>
        </w:rPr>
        <w:t>http://ggzy.zhenjiang.gov.cn/051/051002/carelated.html</w:t>
      </w:r>
      <w:r>
        <w:rPr>
          <w:rStyle w:val="47"/>
          <w:rFonts w:hint="eastAsia" w:asciiTheme="minorEastAsia" w:hAnsiTheme="minorEastAsia" w:eastAsiaTheme="minorEastAsia"/>
          <w:szCs w:val="21"/>
        </w:rPr>
        <w:fldChar w:fldCharType="end"/>
      </w:r>
    </w:p>
    <w:p>
      <w:pPr>
        <w:pStyle w:val="37"/>
        <w:spacing w:before="0" w:beforeAutospacing="0" w:after="0" w:afterAutospacing="0" w:line="440" w:lineRule="exact"/>
        <w:ind w:firstLine="420"/>
        <w:jc w:val="both"/>
        <w:rPr>
          <w:rFonts w:asciiTheme="minorEastAsia" w:hAnsiTheme="minorEastAsia" w:eastAsiaTheme="minorEastAsia"/>
          <w:szCs w:val="21"/>
        </w:rPr>
      </w:pPr>
      <w:r>
        <w:rPr>
          <w:rFonts w:hint="eastAsia" w:asciiTheme="minorEastAsia" w:hAnsiTheme="minorEastAsia" w:eastAsiaTheme="minorEastAsia"/>
          <w:szCs w:val="21"/>
        </w:rPr>
        <w:t xml:space="preserve">网上招投标系统：江苏国泰新点软件有限公司 </w:t>
      </w:r>
    </w:p>
    <w:p>
      <w:pPr>
        <w:pStyle w:val="37"/>
        <w:spacing w:before="0" w:beforeAutospacing="0" w:after="0" w:afterAutospacing="0" w:line="440" w:lineRule="exact"/>
        <w:ind w:firstLine="420"/>
        <w:jc w:val="both"/>
        <w:rPr>
          <w:rFonts w:asciiTheme="minorEastAsia" w:hAnsiTheme="minorEastAsia" w:eastAsiaTheme="minorEastAsia"/>
          <w:szCs w:val="21"/>
        </w:rPr>
      </w:pPr>
      <w:r>
        <w:rPr>
          <w:rFonts w:hint="eastAsia" w:asciiTheme="minorEastAsia" w:hAnsiTheme="minorEastAsia" w:eastAsiaTheme="minorEastAsia"/>
          <w:szCs w:val="21"/>
        </w:rPr>
        <w:t>联系电话：18251880642、18512527507</w:t>
      </w:r>
    </w:p>
    <w:p>
      <w:pPr>
        <w:adjustRightInd w:val="0"/>
        <w:snapToGrid w:val="0"/>
        <w:spacing w:line="360" w:lineRule="auto"/>
        <w:rPr>
          <w:rFonts w:cs="Times New Roman" w:asciiTheme="minorEastAsia" w:hAnsiTheme="minorEastAsia"/>
          <w:szCs w:val="21"/>
          <w:lang w:val="zh-CN"/>
        </w:rPr>
      </w:pPr>
      <w:bookmarkStart w:id="6" w:name="_GoBack"/>
      <w:bookmarkEnd w:id="6"/>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ZShuSong-Z01">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0"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252mL4AQAAAQ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kCVWGOr4gxoD+wgjW0d7BucLqrp3VBdG&#10;SlNpkurdHcifnlm47YRt1Q0iDJ0SNdFLN7NHVyccH0Gq4QvU9Iw4BkhAY4MmekduMEInHudLayIV&#10;Scm3V282dCDpZP36w/s8dS4TxXLXoQ+fFBgWg5IjNT5hi9OdD6SCSpeS+JSFg+771Pze/pWgwphJ&#10;3CPdiXgYq3H2ooL6TCoQplmin0RBB/iLs4HmqOSWvg1n/WdLPhDlsAS4BNUSCCvpYskDZ1N4G6bR&#10;PDrUbUe4i9M35NVBJyHR1InDzJImI+mbpziO3uN9q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buXfQAAAAAgEAAA8AAAAAAAAAAQAgAAAAIgAAAGRycy9kb3ducmV2LnhtbFBLAQIUABQA&#10;AAAIAIdO4kCtudpi+AEAAAEEAAAOAAAAAAAAAAEAIAAAAB8BAABkcnMvZTJvRG9jLnhtbFBLBQYA&#10;AAAABgAGAFkBAACJ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3CE2"/>
    <w:multiLevelType w:val="singleLevel"/>
    <w:tmpl w:val="26FE3CE2"/>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C3"/>
    <w:rsid w:val="00015873"/>
    <w:rsid w:val="00060ED6"/>
    <w:rsid w:val="00062910"/>
    <w:rsid w:val="000735CB"/>
    <w:rsid w:val="00076563"/>
    <w:rsid w:val="00083A3A"/>
    <w:rsid w:val="001220A4"/>
    <w:rsid w:val="00136B53"/>
    <w:rsid w:val="00150CFE"/>
    <w:rsid w:val="001761F8"/>
    <w:rsid w:val="001B1538"/>
    <w:rsid w:val="001B4D7A"/>
    <w:rsid w:val="001D78EC"/>
    <w:rsid w:val="00214D5D"/>
    <w:rsid w:val="00221B8E"/>
    <w:rsid w:val="00223F4C"/>
    <w:rsid w:val="00231C1C"/>
    <w:rsid w:val="00264546"/>
    <w:rsid w:val="0026745E"/>
    <w:rsid w:val="0028515A"/>
    <w:rsid w:val="0029108B"/>
    <w:rsid w:val="00294F55"/>
    <w:rsid w:val="002C4556"/>
    <w:rsid w:val="002F28DF"/>
    <w:rsid w:val="0031517C"/>
    <w:rsid w:val="0034677C"/>
    <w:rsid w:val="00350D17"/>
    <w:rsid w:val="003631E3"/>
    <w:rsid w:val="003723F2"/>
    <w:rsid w:val="00376EF7"/>
    <w:rsid w:val="003B2541"/>
    <w:rsid w:val="003B5766"/>
    <w:rsid w:val="003E4596"/>
    <w:rsid w:val="00404002"/>
    <w:rsid w:val="00414298"/>
    <w:rsid w:val="004177F0"/>
    <w:rsid w:val="0045563B"/>
    <w:rsid w:val="004630EC"/>
    <w:rsid w:val="00493DEC"/>
    <w:rsid w:val="004F68C1"/>
    <w:rsid w:val="00507619"/>
    <w:rsid w:val="0053669A"/>
    <w:rsid w:val="00536DD8"/>
    <w:rsid w:val="00557F2C"/>
    <w:rsid w:val="00584C5E"/>
    <w:rsid w:val="005946C3"/>
    <w:rsid w:val="005A314B"/>
    <w:rsid w:val="005E274B"/>
    <w:rsid w:val="005E6E9D"/>
    <w:rsid w:val="00625043"/>
    <w:rsid w:val="00646AAC"/>
    <w:rsid w:val="00664599"/>
    <w:rsid w:val="00697690"/>
    <w:rsid w:val="006B2C10"/>
    <w:rsid w:val="006E6FAD"/>
    <w:rsid w:val="006F0D90"/>
    <w:rsid w:val="00717AB1"/>
    <w:rsid w:val="00741201"/>
    <w:rsid w:val="00744C1F"/>
    <w:rsid w:val="00762EAC"/>
    <w:rsid w:val="007701B3"/>
    <w:rsid w:val="0078233C"/>
    <w:rsid w:val="00784BD5"/>
    <w:rsid w:val="00784F2F"/>
    <w:rsid w:val="007A38FF"/>
    <w:rsid w:val="007C38B1"/>
    <w:rsid w:val="007E3716"/>
    <w:rsid w:val="007F3C1F"/>
    <w:rsid w:val="007F6849"/>
    <w:rsid w:val="00812734"/>
    <w:rsid w:val="0081608D"/>
    <w:rsid w:val="00824C96"/>
    <w:rsid w:val="00824FAB"/>
    <w:rsid w:val="008272C8"/>
    <w:rsid w:val="00827AE0"/>
    <w:rsid w:val="00830F00"/>
    <w:rsid w:val="00844D40"/>
    <w:rsid w:val="008626EA"/>
    <w:rsid w:val="0088188C"/>
    <w:rsid w:val="00883C32"/>
    <w:rsid w:val="0088777D"/>
    <w:rsid w:val="00894295"/>
    <w:rsid w:val="008A40B5"/>
    <w:rsid w:val="008B4DCF"/>
    <w:rsid w:val="008C292C"/>
    <w:rsid w:val="008E69C8"/>
    <w:rsid w:val="00906049"/>
    <w:rsid w:val="009101B7"/>
    <w:rsid w:val="00982FE8"/>
    <w:rsid w:val="00983124"/>
    <w:rsid w:val="009860C1"/>
    <w:rsid w:val="0098686C"/>
    <w:rsid w:val="009931FD"/>
    <w:rsid w:val="00993FB2"/>
    <w:rsid w:val="009A3E5A"/>
    <w:rsid w:val="009B14C6"/>
    <w:rsid w:val="009E36E7"/>
    <w:rsid w:val="00A32A56"/>
    <w:rsid w:val="00A52542"/>
    <w:rsid w:val="00A54217"/>
    <w:rsid w:val="00A551A8"/>
    <w:rsid w:val="00A56DCF"/>
    <w:rsid w:val="00A85D7F"/>
    <w:rsid w:val="00A93BD4"/>
    <w:rsid w:val="00A94C58"/>
    <w:rsid w:val="00AA53DE"/>
    <w:rsid w:val="00AB2F98"/>
    <w:rsid w:val="00AB38B6"/>
    <w:rsid w:val="00AB63B1"/>
    <w:rsid w:val="00AC1CD8"/>
    <w:rsid w:val="00AE234E"/>
    <w:rsid w:val="00AE49BE"/>
    <w:rsid w:val="00B20887"/>
    <w:rsid w:val="00B2617D"/>
    <w:rsid w:val="00B35423"/>
    <w:rsid w:val="00B4120A"/>
    <w:rsid w:val="00B53A3B"/>
    <w:rsid w:val="00BA0AB4"/>
    <w:rsid w:val="00BD109C"/>
    <w:rsid w:val="00BE067A"/>
    <w:rsid w:val="00BF2049"/>
    <w:rsid w:val="00BF2533"/>
    <w:rsid w:val="00C017D6"/>
    <w:rsid w:val="00C37CA2"/>
    <w:rsid w:val="00C439B1"/>
    <w:rsid w:val="00C51023"/>
    <w:rsid w:val="00C56B2D"/>
    <w:rsid w:val="00C56E46"/>
    <w:rsid w:val="00CA0B1C"/>
    <w:rsid w:val="00CA0E04"/>
    <w:rsid w:val="00CB4BAD"/>
    <w:rsid w:val="00CB5BDC"/>
    <w:rsid w:val="00CC187C"/>
    <w:rsid w:val="00CC4995"/>
    <w:rsid w:val="00CC7856"/>
    <w:rsid w:val="00CE3B58"/>
    <w:rsid w:val="00CF6065"/>
    <w:rsid w:val="00CF7489"/>
    <w:rsid w:val="00D104CA"/>
    <w:rsid w:val="00D27660"/>
    <w:rsid w:val="00D417BE"/>
    <w:rsid w:val="00D520FC"/>
    <w:rsid w:val="00D5531A"/>
    <w:rsid w:val="00DA727F"/>
    <w:rsid w:val="00DA7B5C"/>
    <w:rsid w:val="00DB1E48"/>
    <w:rsid w:val="00DC059F"/>
    <w:rsid w:val="00DC1220"/>
    <w:rsid w:val="00DC136E"/>
    <w:rsid w:val="00E05875"/>
    <w:rsid w:val="00E26B38"/>
    <w:rsid w:val="00E479B6"/>
    <w:rsid w:val="00E55917"/>
    <w:rsid w:val="00E55C84"/>
    <w:rsid w:val="00EA4BFA"/>
    <w:rsid w:val="00EC20A5"/>
    <w:rsid w:val="00ED32A7"/>
    <w:rsid w:val="00EE17C9"/>
    <w:rsid w:val="00F147D5"/>
    <w:rsid w:val="00FB4DC8"/>
    <w:rsid w:val="00FC3111"/>
    <w:rsid w:val="00FD0603"/>
    <w:rsid w:val="00FD2F6C"/>
    <w:rsid w:val="00FF3CA9"/>
    <w:rsid w:val="0CFC1151"/>
    <w:rsid w:val="0E5A7907"/>
    <w:rsid w:val="31DB6D11"/>
    <w:rsid w:val="39C41440"/>
    <w:rsid w:val="41402792"/>
    <w:rsid w:val="41BC356C"/>
    <w:rsid w:val="47551425"/>
    <w:rsid w:val="4F6E0217"/>
    <w:rsid w:val="512F68C6"/>
    <w:rsid w:val="52AD46F8"/>
    <w:rsid w:val="53172A18"/>
    <w:rsid w:val="5526678E"/>
    <w:rsid w:val="56C8035F"/>
    <w:rsid w:val="5E986AEE"/>
    <w:rsid w:val="667A3883"/>
    <w:rsid w:val="66951FD0"/>
    <w:rsid w:val="6C9C06F3"/>
    <w:rsid w:val="74702AAA"/>
    <w:rsid w:val="76936D93"/>
    <w:rsid w:val="791B3B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2"/>
    <w:qFormat/>
    <w:uiPriority w:val="0"/>
    <w:pPr>
      <w:keepNext/>
      <w:spacing w:before="240" w:after="60"/>
      <w:outlineLvl w:val="0"/>
    </w:pPr>
    <w:rPr>
      <w:rFonts w:ascii="Cambria" w:hAnsi="Cambria" w:eastAsia="宋体" w:cs="Times New Roman"/>
      <w:b/>
      <w:bCs/>
      <w:kern w:val="32"/>
      <w:sz w:val="32"/>
      <w:szCs w:val="32"/>
      <w:lang w:val="zh-CN"/>
    </w:rPr>
  </w:style>
  <w:style w:type="paragraph" w:styleId="4">
    <w:name w:val="heading 2"/>
    <w:basedOn w:val="1"/>
    <w:next w:val="1"/>
    <w:link w:val="53"/>
    <w:qFormat/>
    <w:uiPriority w:val="0"/>
    <w:pPr>
      <w:keepNext/>
      <w:keepLines/>
      <w:spacing w:before="260" w:after="260" w:line="413" w:lineRule="auto"/>
      <w:outlineLvl w:val="1"/>
    </w:pPr>
    <w:rPr>
      <w:rFonts w:ascii="Cambria" w:hAnsi="Cambria" w:eastAsia="宋体" w:cs="Times New Roman"/>
      <w:b/>
      <w:bCs/>
      <w:sz w:val="32"/>
      <w:szCs w:val="32"/>
      <w:lang w:val="zh-CN"/>
    </w:rPr>
  </w:style>
  <w:style w:type="paragraph" w:styleId="5">
    <w:name w:val="heading 3"/>
    <w:basedOn w:val="1"/>
    <w:next w:val="1"/>
    <w:link w:val="54"/>
    <w:qFormat/>
    <w:uiPriority w:val="0"/>
    <w:pPr>
      <w:widowControl/>
      <w:spacing w:line="360" w:lineRule="auto"/>
      <w:outlineLvl w:val="2"/>
    </w:pPr>
    <w:rPr>
      <w:rFonts w:ascii="Times New Roman" w:hAnsi="Times New Roman" w:eastAsia="宋体" w:cs="Times New Roman"/>
      <w:b/>
      <w:bCs/>
      <w:kern w:val="0"/>
      <w:sz w:val="24"/>
      <w:szCs w:val="24"/>
      <w:lang w:val="zh-CN"/>
    </w:rPr>
  </w:style>
  <w:style w:type="paragraph" w:styleId="6">
    <w:name w:val="heading 4"/>
    <w:basedOn w:val="1"/>
    <w:next w:val="1"/>
    <w:link w:val="55"/>
    <w:qFormat/>
    <w:uiPriority w:val="0"/>
    <w:pPr>
      <w:keepNext/>
      <w:keepLines/>
      <w:spacing w:line="360" w:lineRule="auto"/>
      <w:outlineLvl w:val="3"/>
    </w:pPr>
    <w:rPr>
      <w:rFonts w:ascii="Arial" w:hAnsi="Arial" w:eastAsia="宋体" w:cs="Times New Roman"/>
      <w:b/>
      <w:bCs/>
      <w:szCs w:val="28"/>
      <w:lang w:val="zh-CN"/>
    </w:rPr>
  </w:style>
  <w:style w:type="paragraph" w:styleId="7">
    <w:name w:val="heading 5"/>
    <w:basedOn w:val="1"/>
    <w:next w:val="1"/>
    <w:link w:val="56"/>
    <w:qFormat/>
    <w:uiPriority w:val="0"/>
    <w:pPr>
      <w:keepNext/>
      <w:keepLines/>
      <w:spacing w:before="280" w:after="290" w:line="372" w:lineRule="auto"/>
      <w:outlineLvl w:val="4"/>
    </w:pPr>
    <w:rPr>
      <w:rFonts w:ascii="Times New Roman" w:hAnsi="Times New Roman" w:eastAsia="宋体" w:cs="Times New Roman"/>
      <w:b/>
      <w:bCs/>
      <w:sz w:val="28"/>
      <w:szCs w:val="28"/>
      <w:lang w:val="zh-CN"/>
    </w:rPr>
  </w:style>
  <w:style w:type="paragraph" w:styleId="8">
    <w:name w:val="heading 6"/>
    <w:basedOn w:val="1"/>
    <w:next w:val="1"/>
    <w:link w:val="57"/>
    <w:qFormat/>
    <w:uiPriority w:val="0"/>
    <w:pPr>
      <w:keepNext/>
      <w:keepLines/>
      <w:widowControl/>
      <w:tabs>
        <w:tab w:val="left" w:pos="1440"/>
      </w:tabs>
      <w:spacing w:before="240" w:after="64" w:line="317" w:lineRule="auto"/>
      <w:ind w:left="1152" w:hanging="1152"/>
      <w:jc w:val="left"/>
      <w:outlineLvl w:val="5"/>
    </w:pPr>
    <w:rPr>
      <w:rFonts w:ascii="Arial" w:hAnsi="Arial" w:eastAsia="黑体" w:cs="Times New Roman"/>
      <w:b/>
      <w:bCs/>
      <w:kern w:val="0"/>
      <w:sz w:val="24"/>
      <w:szCs w:val="24"/>
      <w:lang w:val="zh-CN"/>
    </w:rPr>
  </w:style>
  <w:style w:type="paragraph" w:styleId="9">
    <w:name w:val="heading 7"/>
    <w:basedOn w:val="1"/>
    <w:next w:val="1"/>
    <w:link w:val="58"/>
    <w:qFormat/>
    <w:uiPriority w:val="0"/>
    <w:pPr>
      <w:keepNext/>
      <w:keepLines/>
      <w:widowControl/>
      <w:tabs>
        <w:tab w:val="left" w:pos="2520"/>
      </w:tabs>
      <w:spacing w:before="240" w:after="64" w:line="317" w:lineRule="auto"/>
      <w:ind w:left="1296" w:hanging="1296"/>
      <w:jc w:val="left"/>
      <w:outlineLvl w:val="6"/>
    </w:pPr>
    <w:rPr>
      <w:rFonts w:ascii="Times New Roman" w:hAnsi="Times New Roman" w:eastAsia="宋体" w:cs="Times New Roman"/>
      <w:b/>
      <w:bCs/>
      <w:kern w:val="0"/>
      <w:sz w:val="24"/>
      <w:szCs w:val="24"/>
      <w:lang w:val="zh-CN"/>
    </w:rPr>
  </w:style>
  <w:style w:type="paragraph" w:styleId="10">
    <w:name w:val="heading 8"/>
    <w:basedOn w:val="1"/>
    <w:next w:val="1"/>
    <w:link w:val="59"/>
    <w:qFormat/>
    <w:uiPriority w:val="0"/>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4"/>
      <w:szCs w:val="24"/>
      <w:lang w:val="zh-CN"/>
    </w:rPr>
  </w:style>
  <w:style w:type="paragraph" w:styleId="11">
    <w:name w:val="heading 9"/>
    <w:basedOn w:val="1"/>
    <w:next w:val="1"/>
    <w:link w:val="60"/>
    <w:qFormat/>
    <w:uiPriority w:val="0"/>
    <w:pPr>
      <w:keepNext/>
      <w:keepLines/>
      <w:widowControl/>
      <w:tabs>
        <w:tab w:val="left" w:pos="1584"/>
      </w:tabs>
      <w:spacing w:before="240" w:after="64" w:line="317" w:lineRule="auto"/>
      <w:ind w:left="1584" w:hanging="1584"/>
      <w:jc w:val="left"/>
      <w:outlineLvl w:val="8"/>
    </w:pPr>
    <w:rPr>
      <w:rFonts w:ascii="Arial" w:hAnsi="Arial" w:eastAsia="黑体" w:cs="Times New Roman"/>
      <w:kern w:val="0"/>
      <w:szCs w:val="21"/>
      <w:lang w:val="zh-CN"/>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szCs w:val="20"/>
    </w:rPr>
  </w:style>
  <w:style w:type="paragraph" w:styleId="12">
    <w:name w:val="toc 7"/>
    <w:basedOn w:val="1"/>
    <w:next w:val="1"/>
    <w:qFormat/>
    <w:uiPriority w:val="39"/>
    <w:pPr>
      <w:ind w:left="2520" w:leftChars="1200"/>
    </w:pPr>
    <w:rPr>
      <w:rFonts w:ascii="Calibri" w:hAnsi="Calibri" w:eastAsia="宋体" w:cs="Times New Roman"/>
    </w:rPr>
  </w:style>
  <w:style w:type="paragraph" w:styleId="13">
    <w:name w:val="Normal Indent"/>
    <w:basedOn w:val="1"/>
    <w:qFormat/>
    <w:uiPriority w:val="0"/>
    <w:pPr>
      <w:ind w:firstLine="420" w:firstLineChars="200"/>
    </w:pPr>
    <w:rPr>
      <w:rFonts w:ascii="Times New Roman" w:hAnsi="Times New Roman" w:eastAsia="宋体" w:cs="Times New Roman"/>
      <w:szCs w:val="24"/>
    </w:rPr>
  </w:style>
  <w:style w:type="paragraph" w:styleId="14">
    <w:name w:val="caption"/>
    <w:basedOn w:val="1"/>
    <w:next w:val="1"/>
    <w:qFormat/>
    <w:uiPriority w:val="0"/>
    <w:rPr>
      <w:rFonts w:ascii="Cambria" w:hAnsi="Cambria" w:eastAsia="黑体" w:cs="Times New Roman"/>
      <w:sz w:val="20"/>
      <w:szCs w:val="20"/>
    </w:rPr>
  </w:style>
  <w:style w:type="paragraph" w:styleId="15">
    <w:name w:val="Document Map"/>
    <w:basedOn w:val="1"/>
    <w:link w:val="65"/>
    <w:qFormat/>
    <w:uiPriority w:val="0"/>
    <w:pPr>
      <w:shd w:val="clear" w:color="auto" w:fill="000080"/>
    </w:pPr>
    <w:rPr>
      <w:szCs w:val="24"/>
    </w:rPr>
  </w:style>
  <w:style w:type="paragraph" w:styleId="16">
    <w:name w:val="annotation text"/>
    <w:basedOn w:val="1"/>
    <w:link w:val="79"/>
    <w:qFormat/>
    <w:uiPriority w:val="0"/>
    <w:pPr>
      <w:jc w:val="left"/>
    </w:pPr>
    <w:rPr>
      <w:szCs w:val="24"/>
    </w:rPr>
  </w:style>
  <w:style w:type="paragraph" w:styleId="17">
    <w:name w:val="Body Text"/>
    <w:basedOn w:val="1"/>
    <w:link w:val="81"/>
    <w:qFormat/>
    <w:uiPriority w:val="0"/>
    <w:pPr>
      <w:spacing w:after="120"/>
    </w:pPr>
    <w:rPr>
      <w:szCs w:val="24"/>
    </w:rPr>
  </w:style>
  <w:style w:type="paragraph" w:styleId="18">
    <w:name w:val="Body Text Indent"/>
    <w:basedOn w:val="1"/>
    <w:link w:val="88"/>
    <w:qFormat/>
    <w:uiPriority w:val="0"/>
    <w:pPr>
      <w:spacing w:after="120"/>
      <w:ind w:left="420" w:leftChars="200"/>
    </w:pPr>
    <w:rPr>
      <w:szCs w:val="24"/>
    </w:rPr>
  </w:style>
  <w:style w:type="paragraph" w:styleId="19">
    <w:name w:val="index 4"/>
    <w:basedOn w:val="1"/>
    <w:next w:val="1"/>
    <w:qFormat/>
    <w:uiPriority w:val="0"/>
    <w:pPr>
      <w:ind w:left="600" w:leftChars="600"/>
    </w:pPr>
    <w:rPr>
      <w:rFonts w:ascii="Times New Roman" w:hAnsi="Times New Roman" w:eastAsia="宋体" w:cs="Times New Roman"/>
      <w:szCs w:val="24"/>
    </w:rPr>
  </w:style>
  <w:style w:type="paragraph" w:styleId="20">
    <w:name w:val="toc 5"/>
    <w:basedOn w:val="1"/>
    <w:next w:val="1"/>
    <w:qFormat/>
    <w:uiPriority w:val="39"/>
    <w:pPr>
      <w:ind w:left="1680" w:leftChars="800"/>
    </w:pPr>
    <w:rPr>
      <w:rFonts w:ascii="Calibri" w:hAnsi="Calibri" w:eastAsia="宋体" w:cs="Times New Roman"/>
    </w:rPr>
  </w:style>
  <w:style w:type="paragraph" w:styleId="21">
    <w:name w:val="toc 3"/>
    <w:basedOn w:val="1"/>
    <w:next w:val="1"/>
    <w:qFormat/>
    <w:uiPriority w:val="39"/>
    <w:pPr>
      <w:ind w:left="840" w:leftChars="400"/>
    </w:pPr>
    <w:rPr>
      <w:rFonts w:ascii="Times New Roman" w:hAnsi="Times New Roman" w:eastAsia="宋体" w:cs="Times New Roman"/>
      <w:szCs w:val="24"/>
    </w:rPr>
  </w:style>
  <w:style w:type="paragraph" w:styleId="22">
    <w:name w:val="Plain Text"/>
    <w:basedOn w:val="1"/>
    <w:link w:val="115"/>
    <w:qFormat/>
    <w:uiPriority w:val="0"/>
    <w:rPr>
      <w:rFonts w:ascii="宋体" w:hAnsi="Courier New" w:eastAsia="仿宋_GB2312"/>
      <w:sz w:val="32"/>
      <w:szCs w:val="24"/>
    </w:rPr>
  </w:style>
  <w:style w:type="paragraph" w:styleId="23">
    <w:name w:val="toc 8"/>
    <w:basedOn w:val="1"/>
    <w:next w:val="1"/>
    <w:qFormat/>
    <w:uiPriority w:val="39"/>
    <w:pPr>
      <w:ind w:left="2940" w:leftChars="1400"/>
    </w:pPr>
    <w:rPr>
      <w:rFonts w:ascii="Calibri" w:hAnsi="Calibri" w:eastAsia="宋体" w:cs="Times New Roman"/>
    </w:rPr>
  </w:style>
  <w:style w:type="paragraph" w:styleId="24">
    <w:name w:val="Date"/>
    <w:basedOn w:val="1"/>
    <w:next w:val="1"/>
    <w:link w:val="94"/>
    <w:qFormat/>
    <w:uiPriority w:val="0"/>
    <w:pPr>
      <w:ind w:left="100" w:leftChars="2500"/>
    </w:pPr>
    <w:rPr>
      <w:szCs w:val="24"/>
    </w:rPr>
  </w:style>
  <w:style w:type="paragraph" w:styleId="25">
    <w:name w:val="Body Text Indent 2"/>
    <w:basedOn w:val="1"/>
    <w:link w:val="61"/>
    <w:qFormat/>
    <w:uiPriority w:val="0"/>
    <w:pPr>
      <w:autoSpaceDE w:val="0"/>
      <w:autoSpaceDN w:val="0"/>
      <w:adjustRightInd w:val="0"/>
      <w:spacing w:line="410" w:lineRule="atLeast"/>
      <w:ind w:left="480"/>
      <w:jc w:val="left"/>
    </w:pPr>
    <w:rPr>
      <w:rFonts w:ascii="宋体" w:hAnsi="Calibri"/>
      <w:color w:val="000000"/>
      <w:szCs w:val="24"/>
    </w:rPr>
  </w:style>
  <w:style w:type="paragraph" w:styleId="26">
    <w:name w:val="Balloon Text"/>
    <w:basedOn w:val="1"/>
    <w:link w:val="86"/>
    <w:qFormat/>
    <w:uiPriority w:val="0"/>
    <w:rPr>
      <w:sz w:val="18"/>
      <w:szCs w:val="18"/>
    </w:rPr>
  </w:style>
  <w:style w:type="paragraph" w:styleId="27">
    <w:name w:val="footer"/>
    <w:basedOn w:val="1"/>
    <w:link w:val="51"/>
    <w:unhideWhenUsed/>
    <w:qFormat/>
    <w:uiPriority w:val="99"/>
    <w:pPr>
      <w:tabs>
        <w:tab w:val="center" w:pos="4153"/>
        <w:tab w:val="right" w:pos="8306"/>
      </w:tabs>
      <w:snapToGrid w:val="0"/>
      <w:jc w:val="left"/>
    </w:pPr>
    <w:rPr>
      <w:sz w:val="18"/>
      <w:szCs w:val="18"/>
    </w:rPr>
  </w:style>
  <w:style w:type="paragraph" w:styleId="28">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rPr>
      <w:rFonts w:ascii="Times New Roman" w:hAnsi="Times New Roman" w:eastAsia="宋体" w:cs="Times New Roman"/>
      <w:szCs w:val="24"/>
    </w:rPr>
  </w:style>
  <w:style w:type="paragraph" w:styleId="30">
    <w:name w:val="toc 4"/>
    <w:basedOn w:val="1"/>
    <w:next w:val="1"/>
    <w:qFormat/>
    <w:uiPriority w:val="39"/>
    <w:pPr>
      <w:ind w:left="1260" w:leftChars="600"/>
    </w:pPr>
    <w:rPr>
      <w:rFonts w:ascii="Times New Roman" w:hAnsi="Times New Roman" w:eastAsia="宋体" w:cs="Times New Roman"/>
      <w:szCs w:val="24"/>
    </w:rPr>
  </w:style>
  <w:style w:type="paragraph" w:styleId="31">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39"/>
    <w:pPr>
      <w:ind w:left="2100" w:leftChars="1000"/>
    </w:pPr>
    <w:rPr>
      <w:rFonts w:ascii="Calibri" w:hAnsi="Calibri" w:eastAsia="宋体" w:cs="Times New Roman"/>
    </w:rPr>
  </w:style>
  <w:style w:type="paragraph" w:styleId="33">
    <w:name w:val="Body Text Indent 3"/>
    <w:basedOn w:val="1"/>
    <w:link w:val="96"/>
    <w:qFormat/>
    <w:uiPriority w:val="0"/>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toc 9"/>
    <w:basedOn w:val="1"/>
    <w:next w:val="1"/>
    <w:qFormat/>
    <w:uiPriority w:val="39"/>
    <w:pPr>
      <w:ind w:left="3360" w:leftChars="1600"/>
    </w:pPr>
    <w:rPr>
      <w:rFonts w:ascii="Calibri" w:hAnsi="Calibri" w:eastAsia="宋体" w:cs="Times New Roman"/>
    </w:rPr>
  </w:style>
  <w:style w:type="paragraph" w:styleId="36">
    <w:name w:val="Body Text 2"/>
    <w:basedOn w:val="1"/>
    <w:qFormat/>
    <w:uiPriority w:val="0"/>
    <w:pPr>
      <w:spacing w:after="120" w:line="360" w:lineRule="auto"/>
    </w:pPr>
    <w:rPr>
      <w:sz w:val="24"/>
    </w:rPr>
  </w:style>
  <w:style w:type="paragraph" w:styleId="37">
    <w:name w:val="Normal (Web)"/>
    <w:basedOn w:val="1"/>
    <w:qFormat/>
    <w:uiPriority w:val="99"/>
    <w:pPr>
      <w:widowControl/>
      <w:spacing w:before="100" w:beforeAutospacing="1" w:after="100" w:afterAutospacing="1"/>
      <w:jc w:val="left"/>
    </w:pPr>
    <w:rPr>
      <w:rFonts w:ascii="Times New Roman" w:hAnsi="Times New Roman" w:eastAsia="宋体" w:cs="Times New Roman"/>
      <w:kern w:val="0"/>
      <w:szCs w:val="24"/>
    </w:rPr>
  </w:style>
  <w:style w:type="paragraph" w:styleId="38">
    <w:name w:val="Title"/>
    <w:basedOn w:val="1"/>
    <w:next w:val="1"/>
    <w:link w:val="113"/>
    <w:qFormat/>
    <w:uiPriority w:val="0"/>
    <w:pPr>
      <w:spacing w:before="240" w:after="60"/>
      <w:jc w:val="center"/>
      <w:outlineLvl w:val="0"/>
    </w:pPr>
    <w:rPr>
      <w:rFonts w:ascii="Cambria" w:hAnsi="Cambria"/>
      <w:b/>
      <w:sz w:val="32"/>
      <w:szCs w:val="24"/>
    </w:rPr>
  </w:style>
  <w:style w:type="paragraph" w:styleId="39">
    <w:name w:val="annotation subject"/>
    <w:basedOn w:val="16"/>
    <w:next w:val="16"/>
    <w:link w:val="91"/>
    <w:qFormat/>
    <w:uiPriority w:val="0"/>
    <w:rPr>
      <w:b/>
      <w:bCs/>
    </w:rPr>
  </w:style>
  <w:style w:type="table" w:styleId="41">
    <w:name w:val="Table Grid"/>
    <w:basedOn w:val="40"/>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HTML Code"/>
    <w:qFormat/>
    <w:uiPriority w:val="0"/>
    <w:rPr>
      <w:rFonts w:ascii="Courier New" w:hAnsi="Courier New"/>
      <w:sz w:val="20"/>
    </w:rPr>
  </w:style>
  <w:style w:type="character" w:styleId="49">
    <w:name w:val="annotation reference"/>
    <w:qFormat/>
    <w:uiPriority w:val="0"/>
    <w:rPr>
      <w:sz w:val="21"/>
      <w:szCs w:val="21"/>
    </w:rPr>
  </w:style>
  <w:style w:type="character" w:customStyle="1" w:styleId="50">
    <w:name w:val="页眉 字符"/>
    <w:basedOn w:val="42"/>
    <w:link w:val="28"/>
    <w:qFormat/>
    <w:uiPriority w:val="0"/>
    <w:rPr>
      <w:sz w:val="18"/>
      <w:szCs w:val="18"/>
    </w:rPr>
  </w:style>
  <w:style w:type="character" w:customStyle="1" w:styleId="51">
    <w:name w:val="页脚 字符"/>
    <w:basedOn w:val="42"/>
    <w:link w:val="27"/>
    <w:qFormat/>
    <w:uiPriority w:val="99"/>
    <w:rPr>
      <w:sz w:val="18"/>
      <w:szCs w:val="18"/>
    </w:rPr>
  </w:style>
  <w:style w:type="character" w:customStyle="1" w:styleId="52">
    <w:name w:val="标题 1 字符1"/>
    <w:basedOn w:val="42"/>
    <w:link w:val="3"/>
    <w:qFormat/>
    <w:uiPriority w:val="0"/>
    <w:rPr>
      <w:rFonts w:ascii="Cambria" w:hAnsi="Cambria" w:eastAsia="宋体" w:cs="Times New Roman"/>
      <w:b/>
      <w:bCs/>
      <w:kern w:val="32"/>
      <w:sz w:val="32"/>
      <w:szCs w:val="32"/>
      <w:lang w:val="zh-CN" w:eastAsia="zh-CN"/>
    </w:rPr>
  </w:style>
  <w:style w:type="character" w:customStyle="1" w:styleId="53">
    <w:name w:val="标题 2 字符"/>
    <w:basedOn w:val="42"/>
    <w:link w:val="4"/>
    <w:qFormat/>
    <w:uiPriority w:val="0"/>
    <w:rPr>
      <w:rFonts w:ascii="Cambria" w:hAnsi="Cambria" w:eastAsia="宋体" w:cs="Times New Roman"/>
      <w:b/>
      <w:bCs/>
      <w:sz w:val="32"/>
      <w:szCs w:val="32"/>
      <w:lang w:val="zh-CN" w:eastAsia="zh-CN"/>
    </w:rPr>
  </w:style>
  <w:style w:type="character" w:customStyle="1" w:styleId="54">
    <w:name w:val="标题 3 字符"/>
    <w:basedOn w:val="42"/>
    <w:link w:val="5"/>
    <w:qFormat/>
    <w:uiPriority w:val="0"/>
    <w:rPr>
      <w:rFonts w:ascii="Times New Roman" w:hAnsi="Times New Roman" w:eastAsia="宋体" w:cs="Times New Roman"/>
      <w:b/>
      <w:bCs/>
      <w:kern w:val="0"/>
      <w:sz w:val="24"/>
      <w:szCs w:val="24"/>
      <w:lang w:val="zh-CN" w:eastAsia="zh-CN"/>
    </w:rPr>
  </w:style>
  <w:style w:type="character" w:customStyle="1" w:styleId="55">
    <w:name w:val="标题 4 字符"/>
    <w:basedOn w:val="42"/>
    <w:link w:val="6"/>
    <w:qFormat/>
    <w:uiPriority w:val="0"/>
    <w:rPr>
      <w:rFonts w:ascii="Arial" w:hAnsi="Arial" w:eastAsia="宋体" w:cs="Times New Roman"/>
      <w:b/>
      <w:bCs/>
      <w:szCs w:val="28"/>
      <w:lang w:val="zh-CN" w:eastAsia="zh-CN"/>
    </w:rPr>
  </w:style>
  <w:style w:type="character" w:customStyle="1" w:styleId="56">
    <w:name w:val="标题 5 字符"/>
    <w:basedOn w:val="42"/>
    <w:link w:val="7"/>
    <w:qFormat/>
    <w:uiPriority w:val="0"/>
    <w:rPr>
      <w:rFonts w:ascii="Times New Roman" w:hAnsi="Times New Roman" w:eastAsia="宋体" w:cs="Times New Roman"/>
      <w:b/>
      <w:bCs/>
      <w:sz w:val="28"/>
      <w:szCs w:val="28"/>
      <w:lang w:val="zh-CN" w:eastAsia="zh-CN"/>
    </w:rPr>
  </w:style>
  <w:style w:type="character" w:customStyle="1" w:styleId="57">
    <w:name w:val="标题 6 字符"/>
    <w:basedOn w:val="42"/>
    <w:link w:val="8"/>
    <w:qFormat/>
    <w:uiPriority w:val="0"/>
    <w:rPr>
      <w:rFonts w:ascii="Arial" w:hAnsi="Arial" w:eastAsia="黑体" w:cs="Times New Roman"/>
      <w:b/>
      <w:bCs/>
      <w:kern w:val="0"/>
      <w:sz w:val="24"/>
      <w:szCs w:val="24"/>
      <w:lang w:val="zh-CN" w:eastAsia="zh-CN"/>
    </w:rPr>
  </w:style>
  <w:style w:type="character" w:customStyle="1" w:styleId="58">
    <w:name w:val="标题 7 字符"/>
    <w:basedOn w:val="42"/>
    <w:link w:val="9"/>
    <w:qFormat/>
    <w:uiPriority w:val="0"/>
    <w:rPr>
      <w:rFonts w:ascii="Times New Roman" w:hAnsi="Times New Roman" w:eastAsia="宋体" w:cs="Times New Roman"/>
      <w:b/>
      <w:bCs/>
      <w:kern w:val="0"/>
      <w:sz w:val="24"/>
      <w:szCs w:val="24"/>
      <w:lang w:val="zh-CN" w:eastAsia="zh-CN"/>
    </w:rPr>
  </w:style>
  <w:style w:type="character" w:customStyle="1" w:styleId="59">
    <w:name w:val="标题 8 字符"/>
    <w:basedOn w:val="42"/>
    <w:link w:val="10"/>
    <w:qFormat/>
    <w:uiPriority w:val="0"/>
    <w:rPr>
      <w:rFonts w:ascii="Arial" w:hAnsi="Arial" w:eastAsia="黑体" w:cs="Times New Roman"/>
      <w:kern w:val="0"/>
      <w:sz w:val="24"/>
      <w:szCs w:val="24"/>
      <w:lang w:val="zh-CN" w:eastAsia="zh-CN"/>
    </w:rPr>
  </w:style>
  <w:style w:type="character" w:customStyle="1" w:styleId="60">
    <w:name w:val="标题 9 字符"/>
    <w:basedOn w:val="42"/>
    <w:link w:val="11"/>
    <w:qFormat/>
    <w:uiPriority w:val="0"/>
    <w:rPr>
      <w:rFonts w:ascii="Arial" w:hAnsi="Arial" w:eastAsia="黑体" w:cs="Times New Roman"/>
      <w:kern w:val="0"/>
      <w:szCs w:val="21"/>
      <w:lang w:val="zh-CN" w:eastAsia="zh-CN"/>
    </w:rPr>
  </w:style>
  <w:style w:type="character" w:customStyle="1" w:styleId="61">
    <w:name w:val="正文文本缩进 2 字符"/>
    <w:link w:val="25"/>
    <w:qFormat/>
    <w:uiPriority w:val="0"/>
    <w:rPr>
      <w:rFonts w:ascii="宋体" w:hAnsi="Calibri"/>
      <w:color w:val="000000"/>
      <w:szCs w:val="24"/>
    </w:rPr>
  </w:style>
  <w:style w:type="character" w:customStyle="1" w:styleId="62">
    <w:name w:val="正文文本缩进 2 Char1"/>
    <w:basedOn w:val="42"/>
    <w:semiHidden/>
    <w:qFormat/>
    <w:uiPriority w:val="0"/>
  </w:style>
  <w:style w:type="character" w:customStyle="1" w:styleId="63">
    <w:name w:val="Font Style125"/>
    <w:unhideWhenUsed/>
    <w:qFormat/>
    <w:uiPriority w:val="99"/>
    <w:rPr>
      <w:rFonts w:hint="eastAsia" w:ascii="宋体" w:hAnsi="宋体" w:eastAsia="宋体"/>
      <w:b/>
      <w:sz w:val="26"/>
    </w:rPr>
  </w:style>
  <w:style w:type="character" w:customStyle="1" w:styleId="64">
    <w:name w:val="标题 4 Char1"/>
    <w:qFormat/>
    <w:uiPriority w:val="0"/>
    <w:rPr>
      <w:rFonts w:ascii="Arial" w:hAnsi="Arial" w:eastAsia="宋体" w:cs="Times New Roman"/>
      <w:b/>
      <w:bCs/>
      <w:szCs w:val="28"/>
    </w:rPr>
  </w:style>
  <w:style w:type="character" w:customStyle="1" w:styleId="65">
    <w:name w:val="文档结构图 字符"/>
    <w:link w:val="15"/>
    <w:qFormat/>
    <w:uiPriority w:val="0"/>
    <w:rPr>
      <w:szCs w:val="24"/>
      <w:shd w:val="clear" w:color="auto" w:fill="000080"/>
    </w:rPr>
  </w:style>
  <w:style w:type="character" w:customStyle="1" w:styleId="66">
    <w:name w:val="文档结构图 Char1"/>
    <w:basedOn w:val="42"/>
    <w:qFormat/>
    <w:uiPriority w:val="0"/>
    <w:rPr>
      <w:rFonts w:ascii="宋体" w:eastAsia="宋体"/>
      <w:sz w:val="18"/>
      <w:szCs w:val="18"/>
    </w:rPr>
  </w:style>
  <w:style w:type="character" w:customStyle="1" w:styleId="67">
    <w:name w:val="副标题 字符"/>
    <w:link w:val="31"/>
    <w:qFormat/>
    <w:uiPriority w:val="0"/>
    <w:rPr>
      <w:rFonts w:ascii="Cambria" w:hAnsi="Cambria"/>
      <w:b/>
      <w:bCs/>
      <w:kern w:val="28"/>
      <w:sz w:val="32"/>
      <w:szCs w:val="32"/>
    </w:rPr>
  </w:style>
  <w:style w:type="character" w:customStyle="1" w:styleId="68">
    <w:name w:val="副标题 Char1"/>
    <w:basedOn w:val="42"/>
    <w:qFormat/>
    <w:uiPriority w:val="11"/>
    <w:rPr>
      <w:rFonts w:eastAsia="宋体" w:asciiTheme="majorHAnsi" w:hAnsiTheme="majorHAnsi" w:cstheme="majorBidi"/>
      <w:b/>
      <w:bCs/>
      <w:kern w:val="28"/>
      <w:sz w:val="32"/>
      <w:szCs w:val="32"/>
    </w:rPr>
  </w:style>
  <w:style w:type="character" w:customStyle="1" w:styleId="69">
    <w:name w:val="Font Style131"/>
    <w:unhideWhenUsed/>
    <w:qFormat/>
    <w:uiPriority w:val="99"/>
    <w:rPr>
      <w:rFonts w:hint="eastAsia" w:ascii="Times New Roman" w:hAnsi="Times New Roman" w:eastAsia="Times New Roman"/>
      <w:sz w:val="18"/>
    </w:rPr>
  </w:style>
  <w:style w:type="character" w:customStyle="1" w:styleId="70">
    <w:name w:val="纯文本 Char1"/>
    <w:qFormat/>
    <w:uiPriority w:val="0"/>
    <w:rPr>
      <w:rFonts w:ascii="宋体" w:hAnsi="Courier New" w:eastAsia="宋体" w:cs="Courier New"/>
      <w:szCs w:val="21"/>
    </w:rPr>
  </w:style>
  <w:style w:type="character" w:customStyle="1" w:styleId="71">
    <w:name w:val="明显引用 字符"/>
    <w:link w:val="72"/>
    <w:qFormat/>
    <w:uiPriority w:val="0"/>
    <w:rPr>
      <w:b/>
      <w:bCs/>
      <w:i/>
      <w:iCs/>
      <w:color w:val="4F81BD"/>
    </w:rPr>
  </w:style>
  <w:style w:type="paragraph" w:styleId="72">
    <w:name w:val="Intense Quote"/>
    <w:basedOn w:val="1"/>
    <w:next w:val="1"/>
    <w:link w:val="71"/>
    <w:qFormat/>
    <w:uiPriority w:val="0"/>
    <w:pPr>
      <w:pBdr>
        <w:bottom w:val="single" w:color="4F81BD" w:sz="4" w:space="4"/>
      </w:pBdr>
      <w:spacing w:before="200" w:after="280"/>
      <w:ind w:left="936" w:right="936"/>
    </w:pPr>
    <w:rPr>
      <w:b/>
      <w:bCs/>
      <w:i/>
      <w:iCs/>
      <w:color w:val="4F81BD"/>
    </w:rPr>
  </w:style>
  <w:style w:type="character" w:customStyle="1" w:styleId="73">
    <w:name w:val="明显引用 Char1"/>
    <w:basedOn w:val="42"/>
    <w:qFormat/>
    <w:uiPriority w:val="99"/>
    <w:rPr>
      <w:b/>
      <w:bCs/>
      <w:i/>
      <w:iCs/>
      <w:color w:val="4F81BD" w:themeColor="accent1"/>
      <w14:textFill>
        <w14:solidFill>
          <w14:schemeClr w14:val="accent1"/>
        </w14:solidFill>
      </w14:textFill>
    </w:rPr>
  </w:style>
  <w:style w:type="character" w:customStyle="1" w:styleId="74">
    <w:name w:val="标题4 Char Char"/>
    <w:link w:val="75"/>
    <w:qFormat/>
    <w:uiPriority w:val="0"/>
    <w:rPr>
      <w:rFonts w:ascii="Arial" w:hAnsi="Arial"/>
      <w:b/>
      <w:bCs/>
      <w:sz w:val="24"/>
      <w:szCs w:val="32"/>
    </w:rPr>
  </w:style>
  <w:style w:type="paragraph" w:customStyle="1" w:styleId="75">
    <w:name w:val="标题4"/>
    <w:basedOn w:val="4"/>
    <w:next w:val="19"/>
    <w:link w:val="74"/>
    <w:qFormat/>
    <w:uiPriority w:val="0"/>
    <w:rPr>
      <w:rFonts w:ascii="Arial" w:hAnsi="Arial" w:eastAsiaTheme="minorEastAsia" w:cstheme="minorBidi"/>
      <w:sz w:val="24"/>
      <w:lang w:val="en-US"/>
    </w:rPr>
  </w:style>
  <w:style w:type="character" w:customStyle="1" w:styleId="76">
    <w:name w:val="批注文字 Char1"/>
    <w:semiHidden/>
    <w:qFormat/>
    <w:uiPriority w:val="99"/>
    <w:rPr>
      <w:rFonts w:ascii="Times New Roman" w:hAnsi="Times New Roman" w:eastAsia="宋体" w:cs="Times New Roman"/>
      <w:szCs w:val="24"/>
    </w:rPr>
  </w:style>
  <w:style w:type="character" w:customStyle="1" w:styleId="77">
    <w:name w:val="Font Style94"/>
    <w:unhideWhenUsed/>
    <w:qFormat/>
    <w:uiPriority w:val="99"/>
    <w:rPr>
      <w:rFonts w:hint="eastAsia" w:ascii="Times New Roman" w:hAnsi="Times New Roman" w:eastAsia="Times New Roman"/>
      <w:sz w:val="28"/>
    </w:rPr>
  </w:style>
  <w:style w:type="character" w:customStyle="1" w:styleId="78">
    <w:name w:val="标题 3 Char1"/>
    <w:qFormat/>
    <w:uiPriority w:val="0"/>
    <w:rPr>
      <w:b/>
      <w:bCs/>
      <w:sz w:val="24"/>
      <w:szCs w:val="24"/>
    </w:rPr>
  </w:style>
  <w:style w:type="character" w:customStyle="1" w:styleId="79">
    <w:name w:val="批注文字 字符"/>
    <w:link w:val="16"/>
    <w:qFormat/>
    <w:uiPriority w:val="0"/>
    <w:rPr>
      <w:szCs w:val="24"/>
    </w:rPr>
  </w:style>
  <w:style w:type="character" w:customStyle="1" w:styleId="80">
    <w:name w:val="批注文字 Char2"/>
    <w:basedOn w:val="42"/>
    <w:semiHidden/>
    <w:qFormat/>
    <w:uiPriority w:val="99"/>
  </w:style>
  <w:style w:type="character" w:customStyle="1" w:styleId="81">
    <w:name w:val="正文文本 字符"/>
    <w:link w:val="17"/>
    <w:qFormat/>
    <w:uiPriority w:val="0"/>
    <w:rPr>
      <w:szCs w:val="24"/>
    </w:rPr>
  </w:style>
  <w:style w:type="character" w:customStyle="1" w:styleId="82">
    <w:name w:val="正文文本 Char1"/>
    <w:basedOn w:val="42"/>
    <w:qFormat/>
    <w:uiPriority w:val="0"/>
  </w:style>
  <w:style w:type="character" w:customStyle="1" w:styleId="83">
    <w:name w:val="批注框文本 Char1"/>
    <w:qFormat/>
    <w:uiPriority w:val="0"/>
    <w:rPr>
      <w:rFonts w:ascii="Times New Roman" w:hAnsi="Times New Roman" w:eastAsia="宋体" w:cs="Times New Roman"/>
      <w:sz w:val="18"/>
      <w:szCs w:val="18"/>
    </w:rPr>
  </w:style>
  <w:style w:type="character" w:customStyle="1" w:styleId="84">
    <w:name w:val="书籍标题1"/>
    <w:qFormat/>
    <w:uiPriority w:val="0"/>
    <w:rPr>
      <w:b/>
      <w:bCs/>
      <w:smallCaps/>
      <w:spacing w:val="5"/>
    </w:rPr>
  </w:style>
  <w:style w:type="character" w:customStyle="1" w:styleId="85">
    <w:name w:val="Font Style123"/>
    <w:unhideWhenUsed/>
    <w:qFormat/>
    <w:uiPriority w:val="99"/>
    <w:rPr>
      <w:rFonts w:hint="eastAsia" w:ascii="宋体" w:hAnsi="宋体" w:eastAsia="宋体"/>
      <w:b/>
      <w:sz w:val="32"/>
    </w:rPr>
  </w:style>
  <w:style w:type="character" w:customStyle="1" w:styleId="86">
    <w:name w:val="批注框文本 字符"/>
    <w:link w:val="26"/>
    <w:qFormat/>
    <w:uiPriority w:val="0"/>
    <w:rPr>
      <w:sz w:val="18"/>
      <w:szCs w:val="18"/>
    </w:rPr>
  </w:style>
  <w:style w:type="character" w:customStyle="1" w:styleId="87">
    <w:name w:val="批注框文本 Char2"/>
    <w:basedOn w:val="42"/>
    <w:semiHidden/>
    <w:qFormat/>
    <w:uiPriority w:val="99"/>
    <w:rPr>
      <w:sz w:val="18"/>
      <w:szCs w:val="18"/>
    </w:rPr>
  </w:style>
  <w:style w:type="character" w:customStyle="1" w:styleId="88">
    <w:name w:val="正文文本缩进 字符"/>
    <w:link w:val="18"/>
    <w:qFormat/>
    <w:uiPriority w:val="0"/>
    <w:rPr>
      <w:szCs w:val="24"/>
    </w:rPr>
  </w:style>
  <w:style w:type="character" w:customStyle="1" w:styleId="89">
    <w:name w:val="正文文本缩进 Char1"/>
    <w:basedOn w:val="42"/>
    <w:semiHidden/>
    <w:qFormat/>
    <w:uiPriority w:val="99"/>
  </w:style>
  <w:style w:type="character" w:customStyle="1" w:styleId="90">
    <w:name w:val="页脚 Char1"/>
    <w:semiHidden/>
    <w:qFormat/>
    <w:uiPriority w:val="99"/>
    <w:rPr>
      <w:rFonts w:ascii="Times New Roman" w:hAnsi="Times New Roman" w:eastAsia="宋体" w:cs="Times New Roman"/>
      <w:sz w:val="18"/>
      <w:szCs w:val="18"/>
    </w:rPr>
  </w:style>
  <w:style w:type="character" w:customStyle="1" w:styleId="91">
    <w:name w:val="批注主题 字符"/>
    <w:link w:val="39"/>
    <w:qFormat/>
    <w:uiPriority w:val="0"/>
    <w:rPr>
      <w:b/>
      <w:bCs/>
      <w:szCs w:val="24"/>
    </w:rPr>
  </w:style>
  <w:style w:type="character" w:customStyle="1" w:styleId="92">
    <w:name w:val="批注主题 Char1"/>
    <w:basedOn w:val="80"/>
    <w:qFormat/>
    <w:uiPriority w:val="0"/>
    <w:rPr>
      <w:b/>
      <w:bCs/>
    </w:rPr>
  </w:style>
  <w:style w:type="character" w:customStyle="1" w:styleId="93">
    <w:name w:val="Font Style86"/>
    <w:unhideWhenUsed/>
    <w:qFormat/>
    <w:uiPriority w:val="99"/>
    <w:rPr>
      <w:rFonts w:hint="eastAsia" w:ascii="黑体" w:hAnsi="黑体" w:eastAsia="黑体"/>
      <w:spacing w:val="10"/>
      <w:sz w:val="30"/>
    </w:rPr>
  </w:style>
  <w:style w:type="character" w:customStyle="1" w:styleId="94">
    <w:name w:val="日期 字符"/>
    <w:link w:val="24"/>
    <w:qFormat/>
    <w:uiPriority w:val="0"/>
    <w:rPr>
      <w:szCs w:val="24"/>
    </w:rPr>
  </w:style>
  <w:style w:type="character" w:customStyle="1" w:styleId="95">
    <w:name w:val="日期 Char1"/>
    <w:basedOn w:val="42"/>
    <w:qFormat/>
    <w:uiPriority w:val="0"/>
  </w:style>
  <w:style w:type="character" w:customStyle="1" w:styleId="96">
    <w:name w:val="正文文本缩进 3 字符"/>
    <w:link w:val="33"/>
    <w:qFormat/>
    <w:uiPriority w:val="0"/>
    <w:rPr>
      <w:rFonts w:ascii="宋体" w:hAnsi="MS Sans Serif"/>
      <w:color w:val="000000"/>
      <w:sz w:val="24"/>
    </w:rPr>
  </w:style>
  <w:style w:type="character" w:customStyle="1" w:styleId="97">
    <w:name w:val="正文文本缩进 3 Char1"/>
    <w:basedOn w:val="42"/>
    <w:qFormat/>
    <w:uiPriority w:val="0"/>
    <w:rPr>
      <w:sz w:val="16"/>
      <w:szCs w:val="16"/>
    </w:rPr>
  </w:style>
  <w:style w:type="character" w:customStyle="1" w:styleId="98">
    <w:name w:val="Char Char14"/>
    <w:qFormat/>
    <w:uiPriority w:val="0"/>
    <w:rPr>
      <w:rFonts w:ascii="Arial" w:hAnsi="Arial"/>
      <w:b/>
      <w:bCs/>
      <w:kern w:val="2"/>
      <w:sz w:val="21"/>
      <w:szCs w:val="28"/>
    </w:rPr>
  </w:style>
  <w:style w:type="character" w:customStyle="1" w:styleId="99">
    <w:name w:val="明显强调1"/>
    <w:qFormat/>
    <w:uiPriority w:val="0"/>
    <w:rPr>
      <w:b/>
      <w:bCs/>
      <w:i/>
      <w:iCs/>
      <w:color w:val="4F81BD"/>
    </w:rPr>
  </w:style>
  <w:style w:type="character" w:customStyle="1" w:styleId="100">
    <w:name w:val="纯文本 Char Char"/>
    <w:qFormat/>
    <w:uiPriority w:val="0"/>
    <w:rPr>
      <w:rFonts w:ascii="宋体" w:hAnsi="Courier New" w:eastAsia="仿宋_GB2312"/>
      <w:kern w:val="2"/>
      <w:sz w:val="32"/>
      <w:szCs w:val="24"/>
      <w:lang w:bidi="ar-SA"/>
    </w:rPr>
  </w:style>
  <w:style w:type="character" w:customStyle="1" w:styleId="101">
    <w:name w:val="Font Style119"/>
    <w:unhideWhenUsed/>
    <w:qFormat/>
    <w:uiPriority w:val="99"/>
    <w:rPr>
      <w:rFonts w:hint="eastAsia" w:ascii="宋体" w:hAnsi="宋体" w:eastAsia="宋体"/>
      <w:sz w:val="24"/>
    </w:rPr>
  </w:style>
  <w:style w:type="character" w:customStyle="1" w:styleId="102">
    <w:name w:val="Char Char141"/>
    <w:qFormat/>
    <w:uiPriority w:val="0"/>
    <w:rPr>
      <w:rFonts w:ascii="Arial" w:hAnsi="Arial"/>
      <w:b/>
      <w:bCs/>
      <w:kern w:val="2"/>
      <w:sz w:val="21"/>
      <w:szCs w:val="28"/>
    </w:rPr>
  </w:style>
  <w:style w:type="character" w:customStyle="1" w:styleId="103">
    <w:name w:val="Font Style116"/>
    <w:unhideWhenUsed/>
    <w:qFormat/>
    <w:uiPriority w:val="99"/>
    <w:rPr>
      <w:rFonts w:hint="eastAsia" w:ascii="宋体" w:hAnsi="宋体" w:eastAsia="宋体"/>
      <w:spacing w:val="-20"/>
      <w:sz w:val="24"/>
    </w:rPr>
  </w:style>
  <w:style w:type="character" w:customStyle="1" w:styleId="104">
    <w:name w:val="Font Style124"/>
    <w:unhideWhenUsed/>
    <w:qFormat/>
    <w:uiPriority w:val="99"/>
    <w:rPr>
      <w:rFonts w:hint="eastAsia" w:ascii="宋体" w:hAnsi="宋体" w:eastAsia="宋体"/>
      <w:spacing w:val="30"/>
      <w:sz w:val="24"/>
    </w:rPr>
  </w:style>
  <w:style w:type="character" w:customStyle="1" w:styleId="105">
    <w:name w:val="不明显强调1"/>
    <w:qFormat/>
    <w:uiPriority w:val="0"/>
    <w:rPr>
      <w:i/>
      <w:iCs/>
      <w:color w:val="808080"/>
    </w:rPr>
  </w:style>
  <w:style w:type="character" w:customStyle="1" w:styleId="106">
    <w:name w:val="p0 Char Char"/>
    <w:qFormat/>
    <w:uiPriority w:val="0"/>
    <w:rPr>
      <w:rFonts w:eastAsia="宋体"/>
      <w:kern w:val="2"/>
      <w:sz w:val="21"/>
      <w:szCs w:val="21"/>
      <w:lang w:val="en-US" w:eastAsia="zh-CN" w:bidi="ar-SA"/>
    </w:rPr>
  </w:style>
  <w:style w:type="character" w:customStyle="1" w:styleId="107">
    <w:name w:val="引用 Char1"/>
    <w:qFormat/>
    <w:uiPriority w:val="99"/>
    <w:rPr>
      <w:i/>
      <w:iCs/>
      <w:color w:val="000000"/>
      <w:kern w:val="2"/>
      <w:sz w:val="21"/>
      <w:szCs w:val="24"/>
    </w:rPr>
  </w:style>
  <w:style w:type="character" w:customStyle="1" w:styleId="108">
    <w:name w:val="Font Style126"/>
    <w:unhideWhenUsed/>
    <w:qFormat/>
    <w:uiPriority w:val="99"/>
    <w:rPr>
      <w:rFonts w:hint="eastAsia" w:ascii="宋体" w:hAnsi="宋体" w:eastAsia="宋体"/>
      <w:b/>
      <w:spacing w:val="-30"/>
      <w:sz w:val="28"/>
    </w:rPr>
  </w:style>
  <w:style w:type="character" w:customStyle="1" w:styleId="109">
    <w:name w:val="Font Style117"/>
    <w:unhideWhenUsed/>
    <w:qFormat/>
    <w:uiPriority w:val="99"/>
    <w:rPr>
      <w:rFonts w:hint="eastAsia" w:ascii="宋体" w:hAnsi="宋体" w:eastAsia="宋体"/>
      <w:spacing w:val="20"/>
      <w:sz w:val="24"/>
    </w:rPr>
  </w:style>
  <w:style w:type="character" w:customStyle="1" w:styleId="110">
    <w:name w:val="标题 4 Char Char"/>
    <w:qFormat/>
    <w:uiPriority w:val="0"/>
    <w:rPr>
      <w:rFonts w:ascii="Arial" w:hAnsi="Arial" w:eastAsia="宋体"/>
      <w:b/>
      <w:bCs/>
      <w:kern w:val="2"/>
      <w:sz w:val="21"/>
      <w:szCs w:val="28"/>
      <w:lang w:val="en-US" w:eastAsia="zh-CN" w:bidi="ar-SA"/>
    </w:rPr>
  </w:style>
  <w:style w:type="character" w:customStyle="1" w:styleId="111">
    <w:name w:val="textcontents"/>
    <w:qFormat/>
    <w:uiPriority w:val="0"/>
    <w:rPr>
      <w:rFonts w:cs="Times New Roman"/>
    </w:rPr>
  </w:style>
  <w:style w:type="character" w:customStyle="1" w:styleId="112">
    <w:name w:val="标题 Char1"/>
    <w:qFormat/>
    <w:uiPriority w:val="0"/>
    <w:rPr>
      <w:rFonts w:ascii="Cambria" w:hAnsi="Cambria" w:eastAsia="宋体" w:cs="Times New Roman"/>
      <w:b/>
      <w:bCs/>
      <w:sz w:val="32"/>
      <w:szCs w:val="32"/>
    </w:rPr>
  </w:style>
  <w:style w:type="character" w:customStyle="1" w:styleId="113">
    <w:name w:val="标题 字符"/>
    <w:link w:val="38"/>
    <w:qFormat/>
    <w:uiPriority w:val="0"/>
    <w:rPr>
      <w:rFonts w:ascii="Cambria" w:hAnsi="Cambria"/>
      <w:b/>
      <w:sz w:val="32"/>
      <w:szCs w:val="24"/>
    </w:rPr>
  </w:style>
  <w:style w:type="character" w:customStyle="1" w:styleId="114">
    <w:name w:val="标题 Char2"/>
    <w:basedOn w:val="42"/>
    <w:qFormat/>
    <w:uiPriority w:val="10"/>
    <w:rPr>
      <w:rFonts w:eastAsia="宋体" w:asciiTheme="majorHAnsi" w:hAnsiTheme="majorHAnsi" w:cstheme="majorBidi"/>
      <w:b/>
      <w:bCs/>
      <w:sz w:val="32"/>
      <w:szCs w:val="32"/>
    </w:rPr>
  </w:style>
  <w:style w:type="character" w:customStyle="1" w:styleId="115">
    <w:name w:val="纯文本 字符"/>
    <w:link w:val="22"/>
    <w:qFormat/>
    <w:uiPriority w:val="0"/>
    <w:rPr>
      <w:rFonts w:ascii="宋体" w:hAnsi="Courier New" w:eastAsia="仿宋_GB2312"/>
      <w:sz w:val="32"/>
      <w:szCs w:val="24"/>
    </w:rPr>
  </w:style>
  <w:style w:type="character" w:customStyle="1" w:styleId="116">
    <w:name w:val="纯文本 Char2"/>
    <w:basedOn w:val="42"/>
    <w:semiHidden/>
    <w:qFormat/>
    <w:uiPriority w:val="99"/>
    <w:rPr>
      <w:rFonts w:ascii="宋体" w:hAnsi="Courier New" w:eastAsia="宋体" w:cs="Courier New"/>
      <w:szCs w:val="21"/>
    </w:rPr>
  </w:style>
  <w:style w:type="character" w:customStyle="1" w:styleId="117">
    <w:name w:val="Font Style122"/>
    <w:unhideWhenUsed/>
    <w:qFormat/>
    <w:uiPriority w:val="99"/>
    <w:rPr>
      <w:rFonts w:hint="eastAsia" w:ascii="宋体" w:hAnsi="宋体" w:eastAsia="宋体"/>
      <w:spacing w:val="20"/>
      <w:sz w:val="24"/>
    </w:rPr>
  </w:style>
  <w:style w:type="character" w:customStyle="1" w:styleId="118">
    <w:name w:val="页眉 Char1"/>
    <w:semiHidden/>
    <w:qFormat/>
    <w:uiPriority w:val="99"/>
    <w:rPr>
      <w:rFonts w:ascii="Times New Roman" w:hAnsi="Times New Roman" w:eastAsia="宋体" w:cs="Times New Roman"/>
      <w:sz w:val="18"/>
      <w:szCs w:val="18"/>
    </w:rPr>
  </w:style>
  <w:style w:type="character" w:customStyle="1" w:styleId="119">
    <w:name w:val="Font Style121"/>
    <w:unhideWhenUsed/>
    <w:qFormat/>
    <w:uiPriority w:val="99"/>
    <w:rPr>
      <w:rFonts w:hint="eastAsia" w:ascii="宋体" w:hAnsi="宋体" w:eastAsia="宋体"/>
      <w:spacing w:val="-10"/>
      <w:sz w:val="30"/>
    </w:rPr>
  </w:style>
  <w:style w:type="character" w:customStyle="1" w:styleId="120">
    <w:name w:val="Font Style127"/>
    <w:unhideWhenUsed/>
    <w:qFormat/>
    <w:uiPriority w:val="99"/>
    <w:rPr>
      <w:rFonts w:hint="eastAsia" w:ascii="Times New Roman" w:hAnsi="Times New Roman" w:eastAsia="Times New Roman"/>
      <w:sz w:val="20"/>
    </w:rPr>
  </w:style>
  <w:style w:type="character" w:customStyle="1" w:styleId="121">
    <w:name w:val="p0 Char"/>
    <w:link w:val="122"/>
    <w:qFormat/>
    <w:uiPriority w:val="0"/>
    <w:rPr>
      <w:rFonts w:eastAsia="宋体"/>
      <w:szCs w:val="21"/>
    </w:rPr>
  </w:style>
  <w:style w:type="paragraph" w:customStyle="1" w:styleId="122">
    <w:name w:val="p0"/>
    <w:basedOn w:val="1"/>
    <w:link w:val="121"/>
    <w:qFormat/>
    <w:uiPriority w:val="0"/>
    <w:pPr>
      <w:widowControl/>
    </w:pPr>
    <w:rPr>
      <w:rFonts w:eastAsia="宋体"/>
      <w:szCs w:val="21"/>
    </w:rPr>
  </w:style>
  <w:style w:type="character" w:customStyle="1" w:styleId="123">
    <w:name w:val="标题5 Char Char"/>
    <w:link w:val="124"/>
    <w:qFormat/>
    <w:uiPriority w:val="0"/>
    <w:rPr>
      <w:rFonts w:ascii="Arial" w:hAnsi="Arial"/>
      <w:b/>
      <w:bCs/>
      <w:sz w:val="24"/>
      <w:szCs w:val="32"/>
    </w:rPr>
  </w:style>
  <w:style w:type="paragraph" w:customStyle="1" w:styleId="124">
    <w:name w:val="标题5"/>
    <w:basedOn w:val="5"/>
    <w:link w:val="123"/>
    <w:qFormat/>
    <w:uiPriority w:val="0"/>
    <w:pPr>
      <w:keepNext/>
      <w:keepLines/>
      <w:widowControl w:val="0"/>
      <w:spacing w:before="260" w:after="260" w:line="413" w:lineRule="auto"/>
    </w:pPr>
    <w:rPr>
      <w:rFonts w:ascii="Arial" w:hAnsi="Arial" w:eastAsiaTheme="minorEastAsia" w:cstheme="minorBidi"/>
      <w:kern w:val="2"/>
      <w:szCs w:val="32"/>
      <w:lang w:val="en-US"/>
    </w:rPr>
  </w:style>
  <w:style w:type="character" w:customStyle="1" w:styleId="125">
    <w:name w:val="未处理的提及1"/>
    <w:unhideWhenUsed/>
    <w:qFormat/>
    <w:uiPriority w:val="99"/>
    <w:rPr>
      <w:color w:val="605E5C"/>
      <w:shd w:val="clear" w:color="auto" w:fill="E1DFDD"/>
    </w:rPr>
  </w:style>
  <w:style w:type="character" w:customStyle="1" w:styleId="126">
    <w:name w:val="不明显参考1"/>
    <w:qFormat/>
    <w:uiPriority w:val="0"/>
    <w:rPr>
      <w:smallCaps/>
      <w:color w:val="C0504D"/>
      <w:u w:val="single"/>
    </w:rPr>
  </w:style>
  <w:style w:type="character" w:customStyle="1" w:styleId="127">
    <w:name w:val="Font Style128"/>
    <w:unhideWhenUsed/>
    <w:qFormat/>
    <w:uiPriority w:val="99"/>
    <w:rPr>
      <w:rFonts w:hint="eastAsia" w:ascii="Times New Roman" w:hAnsi="Times New Roman" w:eastAsia="Times New Roman"/>
      <w:sz w:val="16"/>
    </w:rPr>
  </w:style>
  <w:style w:type="character" w:customStyle="1" w:styleId="128">
    <w:name w:val="批注文字 Char Char"/>
    <w:qFormat/>
    <w:uiPriority w:val="0"/>
    <w:rPr>
      <w:kern w:val="2"/>
      <w:sz w:val="21"/>
      <w:szCs w:val="24"/>
      <w:lang w:bidi="ar-SA"/>
    </w:rPr>
  </w:style>
  <w:style w:type="character" w:customStyle="1" w:styleId="129">
    <w:name w:val="引用 字符"/>
    <w:link w:val="130"/>
    <w:qFormat/>
    <w:uiPriority w:val="0"/>
    <w:rPr>
      <w:i/>
      <w:iCs/>
      <w:color w:val="000000"/>
    </w:rPr>
  </w:style>
  <w:style w:type="paragraph" w:styleId="130">
    <w:name w:val="Quote"/>
    <w:basedOn w:val="1"/>
    <w:next w:val="1"/>
    <w:link w:val="129"/>
    <w:qFormat/>
    <w:uiPriority w:val="0"/>
    <w:rPr>
      <w:i/>
      <w:iCs/>
      <w:color w:val="000000"/>
    </w:rPr>
  </w:style>
  <w:style w:type="character" w:customStyle="1" w:styleId="131">
    <w:name w:val="引用 Char2"/>
    <w:basedOn w:val="42"/>
    <w:qFormat/>
    <w:uiPriority w:val="29"/>
    <w:rPr>
      <w:i/>
      <w:iCs/>
      <w:color w:val="000000" w:themeColor="text1"/>
      <w14:textFill>
        <w14:solidFill>
          <w14:schemeClr w14:val="tx1"/>
        </w14:solidFill>
      </w14:textFill>
    </w:rPr>
  </w:style>
  <w:style w:type="character" w:customStyle="1" w:styleId="132">
    <w:name w:val="明显参考1"/>
    <w:qFormat/>
    <w:uiPriority w:val="0"/>
    <w:rPr>
      <w:b/>
      <w:bCs/>
      <w:smallCaps/>
      <w:color w:val="C0504D"/>
      <w:spacing w:val="5"/>
      <w:u w:val="single"/>
    </w:rPr>
  </w:style>
  <w:style w:type="character" w:customStyle="1" w:styleId="133">
    <w:name w:val="Font Style115"/>
    <w:unhideWhenUsed/>
    <w:qFormat/>
    <w:uiPriority w:val="99"/>
    <w:rPr>
      <w:rFonts w:hint="eastAsia" w:ascii="Times New Roman" w:hAnsi="Times New Roman" w:eastAsia="Times New Roman"/>
      <w:sz w:val="16"/>
    </w:rPr>
  </w:style>
  <w:style w:type="paragraph" w:customStyle="1" w:styleId="134">
    <w:name w:val="Style63"/>
    <w:basedOn w:val="1"/>
    <w:unhideWhenUsed/>
    <w:qFormat/>
    <w:uiPriority w:val="99"/>
    <w:pPr>
      <w:spacing w:line="564" w:lineRule="exact"/>
      <w:ind w:firstLine="682"/>
    </w:pPr>
    <w:rPr>
      <w:rFonts w:ascii="Calibri" w:hAnsi="Calibri" w:eastAsia="宋体" w:cs="Times New Roman"/>
      <w:szCs w:val="24"/>
    </w:rPr>
  </w:style>
  <w:style w:type="paragraph" w:customStyle="1" w:styleId="135">
    <w:name w:val="Style9"/>
    <w:basedOn w:val="1"/>
    <w:unhideWhenUsed/>
    <w:qFormat/>
    <w:uiPriority w:val="99"/>
    <w:rPr>
      <w:rFonts w:ascii="Calibri" w:hAnsi="Calibri" w:eastAsia="宋体" w:cs="Times New Roman"/>
      <w:szCs w:val="24"/>
    </w:rPr>
  </w:style>
  <w:style w:type="paragraph" w:customStyle="1" w:styleId="136">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szCs w:val="24"/>
    </w:rPr>
  </w:style>
  <w:style w:type="paragraph" w:customStyle="1" w:styleId="137">
    <w:name w:val="Style12"/>
    <w:basedOn w:val="1"/>
    <w:unhideWhenUsed/>
    <w:qFormat/>
    <w:uiPriority w:val="99"/>
    <w:pPr>
      <w:spacing w:line="564" w:lineRule="exact"/>
      <w:ind w:hanging="115"/>
    </w:pPr>
    <w:rPr>
      <w:rFonts w:ascii="Calibri" w:hAnsi="Calibri" w:eastAsia="宋体" w:cs="Times New Roman"/>
      <w:szCs w:val="24"/>
    </w:rPr>
  </w:style>
  <w:style w:type="paragraph" w:customStyle="1" w:styleId="138">
    <w:name w:val="Style71"/>
    <w:basedOn w:val="1"/>
    <w:unhideWhenUsed/>
    <w:qFormat/>
    <w:uiPriority w:val="99"/>
    <w:pPr>
      <w:spacing w:line="538" w:lineRule="exact"/>
      <w:ind w:firstLine="101"/>
    </w:pPr>
    <w:rPr>
      <w:rFonts w:ascii="Calibri" w:hAnsi="Calibri" w:eastAsia="宋体" w:cs="Times New Roman"/>
      <w:szCs w:val="24"/>
    </w:rPr>
  </w:style>
  <w:style w:type="paragraph" w:customStyle="1" w:styleId="139">
    <w:name w:val="Style61"/>
    <w:basedOn w:val="1"/>
    <w:unhideWhenUsed/>
    <w:qFormat/>
    <w:uiPriority w:val="99"/>
    <w:rPr>
      <w:rFonts w:ascii="Calibri" w:hAnsi="Calibri" w:eastAsia="宋体" w:cs="Times New Roman"/>
      <w:szCs w:val="24"/>
    </w:rPr>
  </w:style>
  <w:style w:type="paragraph" w:customStyle="1" w:styleId="14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41">
    <w:name w:val="列出段落21"/>
    <w:basedOn w:val="1"/>
    <w:qFormat/>
    <w:uiPriority w:val="0"/>
    <w:pPr>
      <w:ind w:firstLine="200" w:firstLineChars="200"/>
    </w:pPr>
    <w:rPr>
      <w:rFonts w:ascii="Calibri" w:hAnsi="Calibri" w:eastAsia="宋体" w:cs="Times New Roman"/>
    </w:rPr>
  </w:style>
  <w:style w:type="paragraph" w:customStyle="1" w:styleId="142">
    <w:name w:val="Style21"/>
    <w:basedOn w:val="1"/>
    <w:unhideWhenUsed/>
    <w:qFormat/>
    <w:uiPriority w:val="99"/>
    <w:pPr>
      <w:spacing w:line="566" w:lineRule="exact"/>
      <w:ind w:firstLine="682"/>
    </w:pPr>
    <w:rPr>
      <w:rFonts w:ascii="Calibri" w:hAnsi="Calibri" w:eastAsia="宋体" w:cs="Times New Roman"/>
      <w:szCs w:val="24"/>
    </w:rPr>
  </w:style>
  <w:style w:type="paragraph" w:customStyle="1" w:styleId="143">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4">
    <w:name w:val="Style48"/>
    <w:basedOn w:val="1"/>
    <w:unhideWhenUsed/>
    <w:qFormat/>
    <w:uiPriority w:val="99"/>
    <w:pPr>
      <w:spacing w:line="542" w:lineRule="exact"/>
      <w:jc w:val="right"/>
    </w:pPr>
    <w:rPr>
      <w:rFonts w:ascii="Calibri" w:hAnsi="Calibri" w:eastAsia="宋体" w:cs="Times New Roman"/>
      <w:szCs w:val="24"/>
    </w:rPr>
  </w:style>
  <w:style w:type="paragraph" w:customStyle="1" w:styleId="145">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46">
    <w:name w:val="Style50"/>
    <w:basedOn w:val="1"/>
    <w:unhideWhenUsed/>
    <w:qFormat/>
    <w:uiPriority w:val="99"/>
    <w:rPr>
      <w:rFonts w:ascii="Calibri" w:hAnsi="Calibri" w:eastAsia="宋体" w:cs="Times New Roman"/>
      <w:szCs w:val="24"/>
    </w:rPr>
  </w:style>
  <w:style w:type="paragraph" w:customStyle="1" w:styleId="147">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48">
    <w:name w:val="Style34"/>
    <w:basedOn w:val="1"/>
    <w:unhideWhenUsed/>
    <w:qFormat/>
    <w:uiPriority w:val="99"/>
    <w:pPr>
      <w:spacing w:line="375" w:lineRule="exact"/>
    </w:pPr>
    <w:rPr>
      <w:rFonts w:ascii="Calibri" w:hAnsi="Calibri" w:eastAsia="宋体" w:cs="Times New Roman"/>
      <w:szCs w:val="24"/>
    </w:rPr>
  </w:style>
  <w:style w:type="paragraph" w:customStyle="1" w:styleId="149">
    <w:name w:val="Style53"/>
    <w:basedOn w:val="1"/>
    <w:unhideWhenUsed/>
    <w:qFormat/>
    <w:uiPriority w:val="99"/>
    <w:pPr>
      <w:spacing w:line="533" w:lineRule="exact"/>
      <w:ind w:firstLine="581"/>
    </w:pPr>
    <w:rPr>
      <w:rFonts w:ascii="Calibri" w:hAnsi="Calibri" w:eastAsia="宋体" w:cs="Times New Roman"/>
      <w:szCs w:val="24"/>
    </w:rPr>
  </w:style>
  <w:style w:type="paragraph" w:customStyle="1" w:styleId="150">
    <w:name w:val="1 Char Char Char Char"/>
    <w:basedOn w:val="143"/>
    <w:qFormat/>
    <w:uiPriority w:val="0"/>
  </w:style>
  <w:style w:type="paragraph" w:customStyle="1" w:styleId="151">
    <w:name w:val="TOC 标题2"/>
    <w:basedOn w:val="3"/>
    <w:next w:val="1"/>
    <w:qFormat/>
    <w:uiPriority w:val="0"/>
    <w:pPr>
      <w:keepLines/>
      <w:spacing w:before="340" w:after="330" w:line="576" w:lineRule="auto"/>
      <w:outlineLvl w:val="9"/>
    </w:pPr>
    <w:rPr>
      <w:rFonts w:ascii="Calibri" w:hAnsi="Calibri"/>
      <w:kern w:val="44"/>
      <w:sz w:val="44"/>
      <w:szCs w:val="44"/>
    </w:rPr>
  </w:style>
  <w:style w:type="paragraph" w:customStyle="1" w:styleId="152">
    <w:name w:val="_Style 4"/>
    <w:basedOn w:val="1"/>
    <w:qFormat/>
    <w:uiPriority w:val="34"/>
    <w:pPr>
      <w:widowControl/>
      <w:spacing w:line="120" w:lineRule="exact"/>
      <w:ind w:firstLine="420" w:firstLineChars="200"/>
      <w:jc w:val="left"/>
    </w:pPr>
    <w:rPr>
      <w:rFonts w:ascii="Calibri" w:hAnsi="Calibri" w:eastAsia="宋体" w:cs="Times New Roman"/>
      <w:sz w:val="18"/>
      <w:szCs w:val="18"/>
    </w:rPr>
  </w:style>
  <w:style w:type="paragraph" w:styleId="15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TOC 标题11"/>
    <w:basedOn w:val="3"/>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55">
    <w:name w:val="Style41"/>
    <w:basedOn w:val="1"/>
    <w:unhideWhenUsed/>
    <w:qFormat/>
    <w:uiPriority w:val="99"/>
    <w:pPr>
      <w:spacing w:line="542" w:lineRule="exact"/>
      <w:ind w:firstLine="125"/>
    </w:pPr>
    <w:rPr>
      <w:rFonts w:ascii="Calibri" w:hAnsi="Calibri" w:eastAsia="宋体" w:cs="Times New Roman"/>
      <w:szCs w:val="24"/>
    </w:rPr>
  </w:style>
  <w:style w:type="paragraph" w:customStyle="1" w:styleId="156">
    <w:name w:val="样式 标题 3 + (中文) 黑体 小四 非加粗 段前: 7.8 磅 段后: 0 磅 行距: 固定值 20 磅"/>
    <w:basedOn w:val="5"/>
    <w:qFormat/>
    <w:uiPriority w:val="0"/>
    <w:pPr>
      <w:keepNext/>
      <w:keepLines/>
      <w:widowControl w:val="0"/>
      <w:spacing w:line="400" w:lineRule="exact"/>
    </w:pPr>
    <w:rPr>
      <w:rFonts w:eastAsia="黑体" w:cs="宋体"/>
      <w:b w:val="0"/>
      <w:bCs w:val="0"/>
      <w:kern w:val="2"/>
      <w:szCs w:val="20"/>
      <w:lang w:val="en-US"/>
    </w:rPr>
  </w:style>
  <w:style w:type="paragraph" w:customStyle="1" w:styleId="157">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158">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159">
    <w:name w:val="Char Char"/>
    <w:basedOn w:val="1"/>
    <w:qFormat/>
    <w:uiPriority w:val="0"/>
    <w:rPr>
      <w:rFonts w:ascii="Times New Roman" w:hAnsi="Times New Roman" w:eastAsia="宋体" w:cs="Times New Roman"/>
      <w:szCs w:val="24"/>
    </w:rPr>
  </w:style>
  <w:style w:type="paragraph" w:customStyle="1" w:styleId="160">
    <w:name w:val="Style36"/>
    <w:basedOn w:val="1"/>
    <w:unhideWhenUsed/>
    <w:qFormat/>
    <w:uiPriority w:val="99"/>
    <w:rPr>
      <w:rFonts w:ascii="Calibri" w:hAnsi="Calibri" w:eastAsia="宋体" w:cs="Times New Roman"/>
      <w:szCs w:val="24"/>
    </w:rPr>
  </w:style>
  <w:style w:type="paragraph" w:customStyle="1" w:styleId="16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62">
    <w:name w:val="Char Char Char Char Char Char Char11"/>
    <w:basedOn w:val="1"/>
    <w:qFormat/>
    <w:uiPriority w:val="0"/>
    <w:pPr>
      <w:snapToGrid w:val="0"/>
      <w:spacing w:line="360" w:lineRule="auto"/>
      <w:ind w:firstLine="200" w:firstLineChars="200"/>
    </w:pPr>
    <w:rPr>
      <w:rFonts w:ascii="Calibri" w:hAnsi="Calibri" w:eastAsia="仿宋_GB2312" w:cs="Times New Roman"/>
      <w:sz w:val="24"/>
      <w:szCs w:val="24"/>
    </w:rPr>
  </w:style>
  <w:style w:type="paragraph" w:customStyle="1" w:styleId="163">
    <w:name w:val="Char2"/>
    <w:basedOn w:val="1"/>
    <w:qFormat/>
    <w:uiPriority w:val="0"/>
    <w:pPr>
      <w:widowControl/>
      <w:spacing w:after="160" w:line="240" w:lineRule="exact"/>
      <w:jc w:val="left"/>
    </w:pPr>
    <w:rPr>
      <w:rFonts w:ascii="Calibri" w:hAnsi="Calibri" w:eastAsia="宋体" w:cs="Times New Roman"/>
      <w:szCs w:val="24"/>
    </w:rPr>
  </w:style>
  <w:style w:type="paragraph" w:customStyle="1" w:styleId="164">
    <w:name w:val="List Paragraph1"/>
    <w:basedOn w:val="1"/>
    <w:qFormat/>
    <w:uiPriority w:val="0"/>
    <w:pPr>
      <w:ind w:firstLine="420" w:firstLineChars="200"/>
    </w:pPr>
    <w:rPr>
      <w:rFonts w:ascii="Calibri" w:hAnsi="Calibri" w:eastAsia="宋体" w:cs="Times New Roman"/>
    </w:rPr>
  </w:style>
  <w:style w:type="paragraph" w:customStyle="1" w:styleId="165">
    <w:name w:val="Style64"/>
    <w:basedOn w:val="1"/>
    <w:unhideWhenUsed/>
    <w:qFormat/>
    <w:uiPriority w:val="99"/>
    <w:rPr>
      <w:rFonts w:ascii="Calibri" w:hAnsi="Calibri" w:eastAsia="宋体" w:cs="Times New Roman"/>
      <w:szCs w:val="24"/>
    </w:rPr>
  </w:style>
  <w:style w:type="paragraph" w:customStyle="1" w:styleId="166">
    <w:name w:val="标题3"/>
    <w:basedOn w:val="3"/>
    <w:qFormat/>
    <w:uiPriority w:val="0"/>
    <w:pPr>
      <w:spacing w:beforeLines="50" w:afterLines="50" w:line="400" w:lineRule="exact"/>
    </w:pPr>
    <w:rPr>
      <w:rFonts w:ascii="宋体" w:hAnsi="宋体"/>
      <w:sz w:val="24"/>
    </w:rPr>
  </w:style>
  <w:style w:type="paragraph" w:customStyle="1" w:styleId="167">
    <w:name w:val="Char Char Char Char Char Char Char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68">
    <w:name w:val="Char Char Char Char Char Char Char Char Char Char"/>
    <w:basedOn w:val="1"/>
    <w:qFormat/>
    <w:uiPriority w:val="0"/>
    <w:rPr>
      <w:rFonts w:ascii="Calibri" w:hAnsi="Calibri" w:eastAsia="宋体" w:cs="Times New Roman"/>
      <w:szCs w:val="24"/>
    </w:rPr>
  </w:style>
  <w:style w:type="paragraph" w:customStyle="1" w:styleId="169">
    <w:name w:val="Style45"/>
    <w:basedOn w:val="1"/>
    <w:unhideWhenUsed/>
    <w:qFormat/>
    <w:uiPriority w:val="99"/>
    <w:rPr>
      <w:rFonts w:ascii="Calibri" w:hAnsi="Calibri" w:eastAsia="宋体" w:cs="Times New Roman"/>
      <w:szCs w:val="24"/>
    </w:rPr>
  </w:style>
  <w:style w:type="paragraph" w:customStyle="1" w:styleId="170">
    <w:name w:val="Style77"/>
    <w:basedOn w:val="1"/>
    <w:unhideWhenUsed/>
    <w:qFormat/>
    <w:uiPriority w:val="99"/>
    <w:rPr>
      <w:rFonts w:ascii="Calibri" w:hAnsi="Calibri" w:eastAsia="宋体" w:cs="Times New Roman"/>
      <w:szCs w:val="24"/>
    </w:rPr>
  </w:style>
  <w:style w:type="paragraph" w:customStyle="1" w:styleId="171">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72">
    <w:name w:val="CM99"/>
    <w:basedOn w:val="1"/>
    <w:next w:val="1"/>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customStyle="1" w:styleId="173">
    <w:name w:val="Style8"/>
    <w:basedOn w:val="1"/>
    <w:unhideWhenUsed/>
    <w:qFormat/>
    <w:uiPriority w:val="99"/>
    <w:pPr>
      <w:spacing w:line="566" w:lineRule="exact"/>
      <w:jc w:val="center"/>
    </w:pPr>
    <w:rPr>
      <w:rFonts w:ascii="Calibri" w:hAnsi="Calibri" w:eastAsia="宋体" w:cs="Times New Roman"/>
      <w:szCs w:val="24"/>
    </w:rPr>
  </w:style>
  <w:style w:type="paragraph" w:customStyle="1" w:styleId="174">
    <w:name w:val="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75">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76">
    <w:name w:val="Style42"/>
    <w:basedOn w:val="1"/>
    <w:unhideWhenUsed/>
    <w:qFormat/>
    <w:uiPriority w:val="99"/>
    <w:pPr>
      <w:spacing w:line="542" w:lineRule="exact"/>
      <w:ind w:firstLine="547"/>
    </w:pPr>
    <w:rPr>
      <w:rFonts w:ascii="Calibri" w:hAnsi="Calibri" w:eastAsia="宋体" w:cs="Times New Roman"/>
      <w:szCs w:val="24"/>
    </w:rPr>
  </w:style>
  <w:style w:type="paragraph" w:customStyle="1" w:styleId="177">
    <w:name w:val="修订11"/>
    <w:qFormat/>
    <w:uiPriority w:val="99"/>
    <w:rPr>
      <w:rFonts w:ascii="Times New Roman" w:hAnsi="Times New Roman" w:eastAsia="宋体" w:cs="Times New Roman"/>
      <w:kern w:val="2"/>
      <w:sz w:val="21"/>
      <w:szCs w:val="24"/>
      <w:lang w:val="en-US" w:eastAsia="zh-CN" w:bidi="ar-SA"/>
    </w:rPr>
  </w:style>
  <w:style w:type="paragraph" w:customStyle="1" w:styleId="178">
    <w:name w:val="默认段落字体 Para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179">
    <w:name w:val="Style4"/>
    <w:basedOn w:val="1"/>
    <w:unhideWhenUsed/>
    <w:qFormat/>
    <w:uiPriority w:val="99"/>
    <w:rPr>
      <w:rFonts w:ascii="Calibri" w:hAnsi="Calibri" w:eastAsia="宋体" w:cs="Times New Roman"/>
      <w:szCs w:val="24"/>
    </w:rPr>
  </w:style>
  <w:style w:type="paragraph" w:customStyle="1" w:styleId="180">
    <w:name w:val="样式2"/>
    <w:basedOn w:val="3"/>
    <w:qFormat/>
    <w:uiPriority w:val="0"/>
    <w:pPr>
      <w:jc w:val="left"/>
    </w:pPr>
    <w:rPr>
      <w:rFonts w:ascii="Times New Roman" w:hAnsi="Times New Roman"/>
      <w:b w:val="0"/>
      <w:bCs w:val="0"/>
      <w:kern w:val="2"/>
      <w:sz w:val="28"/>
      <w:szCs w:val="21"/>
    </w:rPr>
  </w:style>
  <w:style w:type="paragraph" w:customStyle="1" w:styleId="181">
    <w:name w:val="Style68"/>
    <w:basedOn w:val="1"/>
    <w:unhideWhenUsed/>
    <w:qFormat/>
    <w:uiPriority w:val="99"/>
    <w:pPr>
      <w:spacing w:line="547" w:lineRule="exact"/>
    </w:pPr>
    <w:rPr>
      <w:rFonts w:ascii="Calibri" w:hAnsi="Calibri" w:eastAsia="宋体" w:cs="Times New Roman"/>
      <w:szCs w:val="24"/>
    </w:rPr>
  </w:style>
  <w:style w:type="paragraph" w:customStyle="1" w:styleId="182">
    <w:name w:val="修订2"/>
    <w:qFormat/>
    <w:uiPriority w:val="99"/>
    <w:rPr>
      <w:rFonts w:ascii="Calibri" w:hAnsi="Calibri" w:eastAsia="宋体" w:cs="Times New Roman"/>
      <w:kern w:val="2"/>
      <w:sz w:val="21"/>
      <w:szCs w:val="24"/>
      <w:lang w:val="en-US" w:eastAsia="zh-CN" w:bidi="ar-SA"/>
    </w:rPr>
  </w:style>
  <w:style w:type="paragraph" w:customStyle="1" w:styleId="183">
    <w:name w:val="Style70"/>
    <w:basedOn w:val="1"/>
    <w:unhideWhenUsed/>
    <w:qFormat/>
    <w:uiPriority w:val="99"/>
    <w:pPr>
      <w:spacing w:line="549" w:lineRule="exact"/>
      <w:ind w:firstLine="686"/>
    </w:pPr>
    <w:rPr>
      <w:rFonts w:ascii="Calibri" w:hAnsi="Calibri" w:eastAsia="宋体" w:cs="Times New Roman"/>
      <w:szCs w:val="24"/>
    </w:rPr>
  </w:style>
  <w:style w:type="paragraph" w:customStyle="1" w:styleId="184">
    <w:name w:val="Style15"/>
    <w:basedOn w:val="1"/>
    <w:unhideWhenUsed/>
    <w:qFormat/>
    <w:uiPriority w:val="99"/>
    <w:pPr>
      <w:spacing w:line="557" w:lineRule="exact"/>
      <w:ind w:firstLine="672"/>
    </w:pPr>
    <w:rPr>
      <w:rFonts w:ascii="Calibri" w:hAnsi="Calibri" w:eastAsia="宋体" w:cs="Times New Roman"/>
      <w:szCs w:val="24"/>
    </w:rPr>
  </w:style>
  <w:style w:type="paragraph" w:customStyle="1" w:styleId="185">
    <w:name w:val="Style13"/>
    <w:basedOn w:val="1"/>
    <w:unhideWhenUsed/>
    <w:qFormat/>
    <w:uiPriority w:val="99"/>
    <w:rPr>
      <w:rFonts w:ascii="Calibri" w:hAnsi="Calibri" w:eastAsia="宋体" w:cs="Times New Roman"/>
      <w:szCs w:val="24"/>
    </w:rPr>
  </w:style>
  <w:style w:type="paragraph" w:customStyle="1" w:styleId="186">
    <w:name w:val="Style28"/>
    <w:basedOn w:val="1"/>
    <w:unhideWhenUsed/>
    <w:qFormat/>
    <w:uiPriority w:val="99"/>
    <w:pPr>
      <w:spacing w:line="552" w:lineRule="exact"/>
      <w:ind w:firstLine="547"/>
    </w:pPr>
    <w:rPr>
      <w:rFonts w:ascii="Calibri" w:hAnsi="Calibri" w:eastAsia="宋体" w:cs="Times New Roman"/>
      <w:szCs w:val="24"/>
    </w:rPr>
  </w:style>
  <w:style w:type="paragraph" w:customStyle="1" w:styleId="187">
    <w:name w:val="Style69"/>
    <w:basedOn w:val="1"/>
    <w:unhideWhenUsed/>
    <w:qFormat/>
    <w:uiPriority w:val="99"/>
    <w:pPr>
      <w:spacing w:line="557" w:lineRule="exact"/>
      <w:ind w:firstLine="1666"/>
    </w:pPr>
    <w:rPr>
      <w:rFonts w:ascii="Calibri" w:hAnsi="Calibri" w:eastAsia="宋体" w:cs="Times New Roman"/>
      <w:szCs w:val="24"/>
    </w:rPr>
  </w:style>
  <w:style w:type="paragraph" w:customStyle="1" w:styleId="188">
    <w:name w:val="TOC 标题1"/>
    <w:basedOn w:val="3"/>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89">
    <w:name w:val="Style72"/>
    <w:basedOn w:val="1"/>
    <w:unhideWhenUsed/>
    <w:qFormat/>
    <w:uiPriority w:val="99"/>
    <w:rPr>
      <w:rFonts w:ascii="Calibri" w:hAnsi="Calibri" w:eastAsia="宋体" w:cs="Times New Roman"/>
      <w:szCs w:val="24"/>
    </w:rPr>
  </w:style>
  <w:style w:type="paragraph" w:customStyle="1" w:styleId="190">
    <w:name w:val="修订21"/>
    <w:qFormat/>
    <w:uiPriority w:val="0"/>
    <w:rPr>
      <w:rFonts w:ascii="Times New Roman" w:hAnsi="Times New Roman" w:eastAsia="宋体" w:cs="Times New Roman"/>
      <w:kern w:val="2"/>
      <w:sz w:val="21"/>
      <w:szCs w:val="24"/>
      <w:lang w:val="en-US" w:eastAsia="zh-CN" w:bidi="ar-SA"/>
    </w:rPr>
  </w:style>
  <w:style w:type="paragraph" w:customStyle="1" w:styleId="191">
    <w:name w:val="Style26"/>
    <w:basedOn w:val="1"/>
    <w:unhideWhenUsed/>
    <w:qFormat/>
    <w:uiPriority w:val="99"/>
    <w:rPr>
      <w:rFonts w:ascii="Calibri" w:hAnsi="Calibri" w:eastAsia="宋体" w:cs="Times New Roman"/>
      <w:szCs w:val="24"/>
    </w:rPr>
  </w:style>
  <w:style w:type="paragraph" w:customStyle="1" w:styleId="192">
    <w:name w:val="样式 图表 + 五号"/>
    <w:basedOn w:val="1"/>
    <w:qFormat/>
    <w:uiPriority w:val="0"/>
    <w:pPr>
      <w:spacing w:line="360" w:lineRule="auto"/>
      <w:ind w:left="-61" w:leftChars="-29" w:firstLine="522" w:firstLineChars="200"/>
    </w:pPr>
    <w:rPr>
      <w:rFonts w:ascii="宋体" w:hAnsi="宋体" w:eastAsia="宋体" w:cs="Times New Roman"/>
      <w:b/>
      <w:color w:val="FF0000"/>
      <w:spacing w:val="-10"/>
      <w:sz w:val="28"/>
      <w:szCs w:val="28"/>
    </w:rPr>
  </w:style>
  <w:style w:type="paragraph" w:customStyle="1" w:styleId="193">
    <w:name w:val="Style46"/>
    <w:basedOn w:val="1"/>
    <w:unhideWhenUsed/>
    <w:qFormat/>
    <w:uiPriority w:val="99"/>
    <w:pPr>
      <w:spacing w:line="672" w:lineRule="exact"/>
    </w:pPr>
    <w:rPr>
      <w:rFonts w:ascii="Calibri" w:hAnsi="Calibri" w:eastAsia="宋体" w:cs="Times New Roman"/>
      <w:szCs w:val="24"/>
    </w:rPr>
  </w:style>
  <w:style w:type="paragraph" w:customStyle="1" w:styleId="194">
    <w:name w:val="Style10"/>
    <w:basedOn w:val="1"/>
    <w:unhideWhenUsed/>
    <w:qFormat/>
    <w:uiPriority w:val="99"/>
    <w:pPr>
      <w:spacing w:line="538" w:lineRule="exact"/>
    </w:pPr>
    <w:rPr>
      <w:rFonts w:ascii="Calibri" w:hAnsi="Calibri" w:eastAsia="宋体" w:cs="Times New Roman"/>
      <w:szCs w:val="24"/>
    </w:rPr>
  </w:style>
  <w:style w:type="paragraph" w:customStyle="1" w:styleId="195">
    <w:name w:val="Style73"/>
    <w:basedOn w:val="1"/>
    <w:unhideWhenUsed/>
    <w:qFormat/>
    <w:uiPriority w:val="99"/>
    <w:pPr>
      <w:spacing w:line="538" w:lineRule="exact"/>
      <w:ind w:firstLine="533"/>
    </w:pPr>
    <w:rPr>
      <w:rFonts w:ascii="Calibri" w:hAnsi="Calibri" w:eastAsia="宋体" w:cs="Times New Roman"/>
      <w:szCs w:val="24"/>
    </w:rPr>
  </w:style>
  <w:style w:type="paragraph" w:customStyle="1" w:styleId="196">
    <w:name w:val="Style24"/>
    <w:basedOn w:val="1"/>
    <w:unhideWhenUsed/>
    <w:qFormat/>
    <w:uiPriority w:val="99"/>
    <w:rPr>
      <w:rFonts w:ascii="Calibri" w:hAnsi="Calibri" w:eastAsia="宋体" w:cs="Times New Roman"/>
      <w:szCs w:val="24"/>
    </w:rPr>
  </w:style>
  <w:style w:type="paragraph" w:customStyle="1" w:styleId="197">
    <w:name w:val="Style27"/>
    <w:basedOn w:val="1"/>
    <w:unhideWhenUsed/>
    <w:qFormat/>
    <w:uiPriority w:val="99"/>
    <w:rPr>
      <w:rFonts w:ascii="Calibri" w:hAnsi="Calibri" w:eastAsia="宋体" w:cs="Times New Roman"/>
      <w:szCs w:val="24"/>
    </w:rPr>
  </w:style>
  <w:style w:type="paragraph" w:customStyle="1" w:styleId="198">
    <w:name w:val="列出段落2"/>
    <w:basedOn w:val="1"/>
    <w:qFormat/>
    <w:uiPriority w:val="0"/>
    <w:pPr>
      <w:ind w:firstLine="200" w:firstLineChars="200"/>
    </w:pPr>
    <w:rPr>
      <w:rFonts w:ascii="Calibri" w:hAnsi="Calibri" w:eastAsia="宋体" w:cs="Times New Roman"/>
    </w:rPr>
  </w:style>
  <w:style w:type="paragraph" w:customStyle="1" w:styleId="199">
    <w:name w:val="Char1 Char Char Char 字元 Char Char 字元 Char 字元 Char1 Char Char Char"/>
    <w:basedOn w:val="1"/>
    <w:qFormat/>
    <w:uiPriority w:val="0"/>
    <w:rPr>
      <w:rFonts w:ascii="Times New Roman" w:hAnsi="Times New Roman" w:eastAsia="宋体" w:cs="Times New Roman"/>
      <w:szCs w:val="24"/>
    </w:rPr>
  </w:style>
  <w:style w:type="paragraph" w:customStyle="1" w:styleId="200">
    <w:name w:val="Aufzaehlung"/>
    <w:basedOn w:val="1"/>
    <w:qFormat/>
    <w:uiPriority w:val="0"/>
    <w:pPr>
      <w:widowControl/>
      <w:spacing w:line="240" w:lineRule="atLeast"/>
      <w:ind w:left="284" w:hanging="284"/>
      <w:jc w:val="left"/>
    </w:pPr>
    <w:rPr>
      <w:rFonts w:ascii="Arial" w:hAnsi="Arial" w:eastAsia="宋体" w:cs="Times New Roman"/>
      <w:kern w:val="0"/>
      <w:sz w:val="22"/>
      <w:szCs w:val="24"/>
      <w:lang w:eastAsia="en-US"/>
    </w:rPr>
  </w:style>
  <w:style w:type="paragraph" w:customStyle="1" w:styleId="201">
    <w:name w:val="样式1"/>
    <w:basedOn w:val="1"/>
    <w:qFormat/>
    <w:uiPriority w:val="0"/>
    <w:pPr>
      <w:tabs>
        <w:tab w:val="right" w:leader="dot" w:pos="10142"/>
      </w:tabs>
      <w:autoSpaceDN w:val="0"/>
    </w:pPr>
    <w:rPr>
      <w:rFonts w:ascii="宋体" w:hAnsi="宋体" w:eastAsia="宋体" w:cs="Times New Roman"/>
      <w:sz w:val="28"/>
      <w:szCs w:val="20"/>
    </w:rPr>
  </w:style>
  <w:style w:type="paragraph" w:customStyle="1" w:styleId="202">
    <w:name w:val="标题2"/>
    <w:basedOn w:val="38"/>
    <w:qFormat/>
    <w:uiPriority w:val="0"/>
    <w:pPr>
      <w:spacing w:after="240"/>
      <w:jc w:val="left"/>
    </w:pPr>
    <w:rPr>
      <w:sz w:val="30"/>
    </w:rPr>
  </w:style>
  <w:style w:type="paragraph" w:customStyle="1" w:styleId="203">
    <w:name w:val="Style23"/>
    <w:basedOn w:val="1"/>
    <w:unhideWhenUsed/>
    <w:qFormat/>
    <w:uiPriority w:val="99"/>
    <w:rPr>
      <w:rFonts w:ascii="Calibri" w:hAnsi="Calibri" w:eastAsia="宋体" w:cs="Times New Roman"/>
      <w:szCs w:val="24"/>
    </w:rPr>
  </w:style>
  <w:style w:type="paragraph" w:customStyle="1" w:styleId="204">
    <w:name w:val="_Style 39"/>
    <w:basedOn w:val="143"/>
    <w:qFormat/>
    <w:uiPriority w:val="0"/>
  </w:style>
  <w:style w:type="paragraph" w:customStyle="1" w:styleId="205">
    <w:name w:val="Style16"/>
    <w:basedOn w:val="1"/>
    <w:unhideWhenUsed/>
    <w:qFormat/>
    <w:uiPriority w:val="99"/>
    <w:pPr>
      <w:jc w:val="right"/>
    </w:pPr>
    <w:rPr>
      <w:rFonts w:ascii="Calibri" w:hAnsi="Calibri" w:eastAsia="宋体" w:cs="Times New Roman"/>
      <w:szCs w:val="24"/>
    </w:rPr>
  </w:style>
  <w:style w:type="paragraph" w:customStyle="1" w:styleId="206">
    <w:name w:val="Char Char Char Char Char Char Char Char Char Char1"/>
    <w:basedOn w:val="1"/>
    <w:qFormat/>
    <w:uiPriority w:val="0"/>
    <w:rPr>
      <w:rFonts w:ascii="Calibri" w:hAnsi="Calibri" w:eastAsia="宋体" w:cs="Times New Roman"/>
      <w:szCs w:val="24"/>
    </w:rPr>
  </w:style>
  <w:style w:type="paragraph" w:customStyle="1" w:styleId="207">
    <w:name w:val="样式3"/>
    <w:basedOn w:val="5"/>
    <w:qFormat/>
    <w:uiPriority w:val="0"/>
    <w:pPr>
      <w:jc w:val="left"/>
    </w:pPr>
    <w:rPr>
      <w:b w:val="0"/>
      <w:bCs w:val="0"/>
      <w:kern w:val="2"/>
      <w:sz w:val="28"/>
      <w:szCs w:val="28"/>
    </w:rPr>
  </w:style>
  <w:style w:type="paragraph" w:customStyle="1" w:styleId="208">
    <w:name w:val="标题 1 +"/>
    <w:basedOn w:val="3"/>
    <w:next w:val="1"/>
    <w:qFormat/>
    <w:uiPriority w:val="0"/>
    <w:pPr>
      <w:keepLines/>
      <w:spacing w:before="0" w:after="0" w:line="600" w:lineRule="auto"/>
      <w:jc w:val="center"/>
    </w:pPr>
    <w:rPr>
      <w:rFonts w:ascii="Times New Roman" w:hAnsi="Times New Roman" w:eastAsia="黑体"/>
      <w:kern w:val="0"/>
    </w:rPr>
  </w:style>
  <w:style w:type="paragraph" w:customStyle="1" w:styleId="209">
    <w:name w:val="Style62"/>
    <w:basedOn w:val="1"/>
    <w:unhideWhenUsed/>
    <w:qFormat/>
    <w:uiPriority w:val="99"/>
    <w:rPr>
      <w:rFonts w:ascii="Calibri" w:hAnsi="Calibri" w:eastAsia="宋体" w:cs="Times New Roman"/>
      <w:szCs w:val="24"/>
    </w:rPr>
  </w:style>
  <w:style w:type="paragraph" w:customStyle="1" w:styleId="210">
    <w:name w:val="Style44"/>
    <w:basedOn w:val="1"/>
    <w:unhideWhenUsed/>
    <w:qFormat/>
    <w:uiPriority w:val="99"/>
    <w:rPr>
      <w:rFonts w:ascii="Calibri" w:hAnsi="Calibri" w:eastAsia="宋体" w:cs="Times New Roman"/>
      <w:szCs w:val="24"/>
    </w:rPr>
  </w:style>
  <w:style w:type="paragraph" w:customStyle="1" w:styleId="211">
    <w:name w:val="Style29"/>
    <w:basedOn w:val="1"/>
    <w:unhideWhenUsed/>
    <w:qFormat/>
    <w:uiPriority w:val="99"/>
    <w:pPr>
      <w:spacing w:line="547" w:lineRule="exact"/>
      <w:ind w:firstLine="547"/>
    </w:pPr>
    <w:rPr>
      <w:rFonts w:ascii="Calibri" w:hAnsi="Calibri" w:eastAsia="宋体" w:cs="Times New Roman"/>
      <w:szCs w:val="24"/>
    </w:rPr>
  </w:style>
  <w:style w:type="paragraph" w:customStyle="1" w:styleId="212">
    <w:name w:val="Char"/>
    <w:basedOn w:val="1"/>
    <w:qFormat/>
    <w:uiPriority w:val="0"/>
    <w:rPr>
      <w:rFonts w:ascii="Tahoma" w:hAnsi="Tahoma" w:eastAsia="仿宋_GB2312" w:cs="Times New Roman"/>
      <w:sz w:val="24"/>
      <w:szCs w:val="20"/>
    </w:rPr>
  </w:style>
  <w:style w:type="paragraph" w:customStyle="1" w:styleId="213">
    <w:name w:val="_Style 36"/>
    <w:qFormat/>
    <w:uiPriority w:val="0"/>
    <w:rPr>
      <w:rFonts w:ascii="Times New Roman" w:hAnsi="Times New Roman" w:eastAsia="宋体" w:cs="Times New Roman"/>
      <w:kern w:val="2"/>
      <w:sz w:val="21"/>
      <w:szCs w:val="24"/>
      <w:lang w:val="en-US" w:eastAsia="zh-CN" w:bidi="ar-SA"/>
    </w:rPr>
  </w:style>
  <w:style w:type="paragraph" w:styleId="214">
    <w:name w:val="List Paragraph"/>
    <w:basedOn w:val="1"/>
    <w:qFormat/>
    <w:uiPriority w:val="0"/>
    <w:pPr>
      <w:ind w:firstLine="420" w:firstLineChars="200"/>
    </w:pPr>
    <w:rPr>
      <w:rFonts w:ascii="Calibri" w:hAnsi="Calibri" w:eastAsia="宋体" w:cs="Times New Roman"/>
    </w:rPr>
  </w:style>
  <w:style w:type="paragraph" w:customStyle="1" w:styleId="215">
    <w:name w:val="Char Char Char Char Char Char Char1"/>
    <w:basedOn w:val="1"/>
    <w:qFormat/>
    <w:uiPriority w:val="0"/>
    <w:pPr>
      <w:snapToGrid w:val="0"/>
      <w:spacing w:line="360" w:lineRule="auto"/>
      <w:ind w:firstLine="200" w:firstLineChars="200"/>
    </w:pPr>
    <w:rPr>
      <w:rFonts w:ascii="Calibri" w:hAnsi="Calibri" w:eastAsia="仿宋_GB2312" w:cs="Times New Roman"/>
      <w:sz w:val="24"/>
      <w:szCs w:val="24"/>
    </w:rPr>
  </w:style>
  <w:style w:type="paragraph" w:customStyle="1" w:styleId="216">
    <w:name w:val="Style76"/>
    <w:basedOn w:val="1"/>
    <w:unhideWhenUsed/>
    <w:qFormat/>
    <w:uiPriority w:val="99"/>
    <w:rPr>
      <w:rFonts w:ascii="Calibri" w:hAnsi="Calibri" w:eastAsia="宋体" w:cs="Times New Roman"/>
      <w:szCs w:val="24"/>
    </w:rPr>
  </w:style>
  <w:style w:type="paragraph" w:customStyle="1" w:styleId="217">
    <w:name w:val="列出段落1"/>
    <w:basedOn w:val="1"/>
    <w:qFormat/>
    <w:uiPriority w:val="99"/>
    <w:pPr>
      <w:ind w:firstLine="420" w:firstLineChars="200"/>
    </w:pPr>
    <w:rPr>
      <w:rFonts w:ascii="Times New Roman" w:hAnsi="Times New Roman" w:eastAsia="宋体" w:cs="Times New Roman"/>
      <w:szCs w:val="24"/>
    </w:rPr>
  </w:style>
  <w:style w:type="paragraph" w:customStyle="1" w:styleId="218">
    <w:name w:val="_Style 31"/>
    <w:basedOn w:val="1"/>
    <w:qFormat/>
    <w:uiPriority w:val="0"/>
    <w:rPr>
      <w:rFonts w:ascii="仿宋_GB2312" w:hAnsi="Times New Roman" w:eastAsia="仿宋_GB2312" w:cs="Times New Roman"/>
      <w:kern w:val="0"/>
      <w:szCs w:val="20"/>
    </w:rPr>
  </w:style>
  <w:style w:type="paragraph" w:customStyle="1" w:styleId="219">
    <w:name w:val="CM91"/>
    <w:basedOn w:val="1"/>
    <w:next w:val="1"/>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Style5"/>
    <w:basedOn w:val="1"/>
    <w:unhideWhenUsed/>
    <w:qFormat/>
    <w:uiPriority w:val="99"/>
    <w:rPr>
      <w:rFonts w:ascii="Calibri" w:hAnsi="Calibri" w:eastAsia="宋体" w:cs="Times New Roman"/>
      <w:szCs w:val="24"/>
    </w:rPr>
  </w:style>
  <w:style w:type="paragraph" w:customStyle="1" w:styleId="222">
    <w:name w:val="Style11"/>
    <w:basedOn w:val="1"/>
    <w:unhideWhenUsed/>
    <w:qFormat/>
    <w:uiPriority w:val="99"/>
    <w:pPr>
      <w:spacing w:line="559" w:lineRule="exact"/>
      <w:ind w:firstLine="590"/>
    </w:pPr>
    <w:rPr>
      <w:rFonts w:ascii="Calibri" w:hAnsi="Calibri" w:eastAsia="宋体" w:cs="Times New Roman"/>
      <w:szCs w:val="24"/>
    </w:rPr>
  </w:style>
  <w:style w:type="paragraph" w:customStyle="1" w:styleId="223">
    <w:name w:val="Style52"/>
    <w:basedOn w:val="1"/>
    <w:unhideWhenUsed/>
    <w:qFormat/>
    <w:uiPriority w:val="99"/>
    <w:pPr>
      <w:spacing w:line="682" w:lineRule="exact"/>
      <w:ind w:firstLine="557"/>
    </w:pPr>
    <w:rPr>
      <w:rFonts w:ascii="Calibri" w:hAnsi="Calibri" w:eastAsia="宋体" w:cs="Times New Roman"/>
      <w:szCs w:val="24"/>
    </w:rPr>
  </w:style>
  <w:style w:type="paragraph" w:customStyle="1" w:styleId="224">
    <w:name w:val="Style78"/>
    <w:basedOn w:val="1"/>
    <w:unhideWhenUsed/>
    <w:qFormat/>
    <w:uiPriority w:val="99"/>
    <w:rPr>
      <w:rFonts w:ascii="Calibri" w:hAnsi="Calibri" w:eastAsia="宋体" w:cs="Times New Roman"/>
      <w:szCs w:val="24"/>
    </w:rPr>
  </w:style>
  <w:style w:type="paragraph" w:customStyle="1" w:styleId="225">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26">
    <w:name w:val="标题 31"/>
    <w:basedOn w:val="1"/>
    <w:qFormat/>
    <w:uiPriority w:val="1"/>
    <w:pPr>
      <w:ind w:left="237" w:right="113"/>
      <w:jc w:val="left"/>
      <w:outlineLvl w:val="3"/>
    </w:pPr>
    <w:rPr>
      <w:rFonts w:ascii="宋体" w:hAnsi="宋体" w:eastAsia="宋体" w:cs="宋体"/>
      <w:kern w:val="0"/>
      <w:sz w:val="28"/>
      <w:szCs w:val="28"/>
      <w:lang w:eastAsia="en-US"/>
    </w:rPr>
  </w:style>
  <w:style w:type="table" w:customStyle="1" w:styleId="227">
    <w:name w:val="Table Normal"/>
    <w:semiHidden/>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228">
    <w:name w:val="Table Paragraph"/>
    <w:basedOn w:val="1"/>
    <w:link w:val="233"/>
    <w:qFormat/>
    <w:uiPriority w:val="1"/>
    <w:pPr>
      <w:jc w:val="left"/>
    </w:pPr>
    <w:rPr>
      <w:rFonts w:ascii="宋体" w:hAnsi="宋体" w:eastAsia="宋体" w:cs="宋体"/>
      <w:kern w:val="0"/>
      <w:sz w:val="22"/>
      <w:lang w:eastAsia="en-US"/>
    </w:rPr>
  </w:style>
  <w:style w:type="character" w:customStyle="1" w:styleId="229">
    <w:name w:val="标题 1 字符"/>
    <w:qFormat/>
    <w:uiPriority w:val="0"/>
    <w:rPr>
      <w:rFonts w:ascii="Cambria" w:hAnsi="Cambria"/>
      <w:b/>
      <w:bCs/>
      <w:kern w:val="32"/>
      <w:sz w:val="32"/>
      <w:szCs w:val="32"/>
    </w:rPr>
  </w:style>
  <w:style w:type="character" w:customStyle="1" w:styleId="230">
    <w:name w:val="未处理的提及2"/>
    <w:unhideWhenUsed/>
    <w:qFormat/>
    <w:uiPriority w:val="99"/>
    <w:rPr>
      <w:color w:val="605E5C"/>
      <w:shd w:val="clear" w:color="auto" w:fill="E1DFDD"/>
    </w:rPr>
  </w:style>
  <w:style w:type="paragraph" w:customStyle="1" w:styleId="231">
    <w:name w:val="修订4"/>
    <w:hidden/>
    <w:semiHidden/>
    <w:uiPriority w:val="99"/>
    <w:rPr>
      <w:rFonts w:asciiTheme="minorHAnsi" w:hAnsiTheme="minorHAnsi" w:eastAsiaTheme="minorEastAsia" w:cstheme="minorBidi"/>
      <w:kern w:val="2"/>
      <w:sz w:val="21"/>
      <w:szCs w:val="22"/>
      <w:lang w:val="en-US" w:eastAsia="zh-CN" w:bidi="ar-SA"/>
    </w:rPr>
  </w:style>
  <w:style w:type="paragraph" w:customStyle="1" w:styleId="232">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3">
    <w:name w:val="Table Paragraph Char"/>
    <w:link w:val="228"/>
    <w:qFormat/>
    <w:uiPriority w:val="1"/>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33A95-8C3D-4317-ADA5-3FBA4A2044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852</Words>
  <Characters>4860</Characters>
  <Lines>40</Lines>
  <Paragraphs>11</Paragraphs>
  <TotalTime>39</TotalTime>
  <ScaleCrop>false</ScaleCrop>
  <LinksUpToDate>false</LinksUpToDate>
  <CharactersWithSpaces>5701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2021-09-29T04:22:00Z</dcterms:created>
  <dc:creator>PC</dc:creator>
  <cp:lastModifiedBy>～</cp:lastModifiedBy>
  <dcterms:modified xsi:type="dcterms:W3CDTF">2021-10-26T09:33:01Z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4B2B6B886C7E4795BC0594A05C36A936</vt:lpwstr>
  </property>
</Properties>
</file>